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7AA5" w:rsidRPr="004D740E" w:rsidRDefault="00F97AA5" w:rsidP="00F97AA5">
      <w:pPr>
        <w:rPr>
          <w:rFonts w:ascii="Times New Roman" w:hAnsi="Times New Roman"/>
          <w:b/>
        </w:rPr>
      </w:pPr>
      <w:r w:rsidRPr="004D740E">
        <w:rPr>
          <w:rFonts w:ascii="Times New Roman" w:hAnsi="Times New Roman"/>
          <w:b/>
        </w:rPr>
        <w:t>Social Europe after Brexit</w:t>
      </w:r>
    </w:p>
    <w:p w:rsidR="00F97AA5" w:rsidRPr="004D740E" w:rsidRDefault="00F97AA5" w:rsidP="00F97AA5">
      <w:pPr>
        <w:rPr>
          <w:rFonts w:ascii="Times New Roman" w:hAnsi="Times New Roman"/>
        </w:rPr>
      </w:pPr>
      <w:r w:rsidRPr="004D740E">
        <w:rPr>
          <w:rFonts w:ascii="Times New Roman" w:hAnsi="Times New Roman"/>
        </w:rPr>
        <w:t>Scott L. Greer</w:t>
      </w:r>
    </w:p>
    <w:p w:rsidR="00F97AA5" w:rsidRPr="004D740E" w:rsidRDefault="00F97AA5" w:rsidP="00F97AA5">
      <w:pPr>
        <w:rPr>
          <w:rFonts w:ascii="Times New Roman" w:hAnsi="Times New Roman"/>
        </w:rPr>
      </w:pPr>
      <w:r w:rsidRPr="004D740E">
        <w:rPr>
          <w:rFonts w:ascii="Times New Roman" w:hAnsi="Times New Roman"/>
        </w:rPr>
        <w:t>University of Michigan</w:t>
      </w:r>
    </w:p>
    <w:p w:rsidR="00F97AA5" w:rsidRPr="004D740E" w:rsidRDefault="00F97AA5" w:rsidP="00F97AA5">
      <w:pPr>
        <w:rPr>
          <w:rFonts w:ascii="Times New Roman" w:hAnsi="Times New Roman"/>
        </w:rPr>
      </w:pPr>
      <w:hyperlink r:id="rId7" w:history="1">
        <w:r w:rsidRPr="004D740E">
          <w:rPr>
            <w:rStyle w:val="Hyperlink"/>
            <w:rFonts w:ascii="Times New Roman" w:hAnsi="Times New Roman"/>
          </w:rPr>
          <w:t>slgreer@umich.edu</w:t>
        </w:r>
      </w:hyperlink>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Contribution to Scott L. Greer and Janet Laible, eds. </w:t>
      </w:r>
      <w:r w:rsidRPr="004D740E">
        <w:rPr>
          <w:rFonts w:ascii="Times New Roman" w:hAnsi="Times New Roman"/>
          <w:i/>
        </w:rPr>
        <w:t xml:space="preserve">The European Union after Brexit </w:t>
      </w:r>
      <w:r w:rsidRPr="004D740E">
        <w:rPr>
          <w:rFonts w:ascii="Times New Roman" w:hAnsi="Times New Roman"/>
        </w:rPr>
        <w:t xml:space="preserve">(Manchester University Press, 2019). </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Draft subject to revisions. Comments welcome, please do not circulate or cite without permission. </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I would like to thank for comments: Adrian Favell, Holly Jarman, Dora Kostakopoulou, Janet Laible and audiences at the 2018 meetings of the European Community Studies Association-Canada and the European Consortium on Political Research’s Standing Group on European Integration. </w:t>
      </w:r>
    </w:p>
    <w:p w:rsidR="00F97AA5" w:rsidRDefault="00F97AA5" w:rsidP="00F97AA5">
      <w:pPr>
        <w:rPr>
          <w:rFonts w:ascii="Times New Roman" w:hAnsi="Times New Roman"/>
        </w:rPr>
      </w:pPr>
    </w:p>
    <w:p w:rsidR="00F97AA5" w:rsidRPr="004D740E" w:rsidRDefault="00F97AA5" w:rsidP="00F97AA5">
      <w:pPr>
        <w:rPr>
          <w:rFonts w:ascii="Times New Roman" w:hAnsi="Times New Roman"/>
        </w:rPr>
      </w:pPr>
      <w:r w:rsidRPr="0071206D">
        <w:rPr>
          <w:rFonts w:ascii="Times New Roman" w:hAnsi="Times New Roman"/>
          <w:highlight w:val="yellow"/>
        </w:rPr>
        <w:t>7 August 2018 version</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“Social Europe” has always been hard to pin down. Born as a putative counterweight to the market-making focus of the Single Europe Act, it was always </w:t>
      </w:r>
      <w:r>
        <w:rPr>
          <w:rFonts w:ascii="Times New Roman" w:hAnsi="Times New Roman"/>
        </w:rPr>
        <w:t>diminished</w:t>
      </w:r>
      <w:r w:rsidRPr="004D740E">
        <w:rPr>
          <w:rFonts w:ascii="Times New Roman" w:hAnsi="Times New Roman"/>
        </w:rPr>
        <w:t xml:space="preserve"> by the difficulty of refashioning a largely market-focused EU into an agent of social protection, and by the impossibility of genuinely pooling risks and resources between </w:t>
      </w:r>
      <w:r>
        <w:rPr>
          <w:rFonts w:ascii="Times New Roman" w:hAnsi="Times New Roman"/>
        </w:rPr>
        <w:t xml:space="preserve">people of </w:t>
      </w:r>
      <w:r w:rsidRPr="004D740E">
        <w:rPr>
          <w:rFonts w:ascii="Times New Roman" w:hAnsi="Times New Roman"/>
        </w:rPr>
        <w:t xml:space="preserve">different countries </w:t>
      </w:r>
      <w:r>
        <w:fldChar w:fldCharType="begin"/>
      </w:r>
      <w:r>
        <w:instrText>ADDIN BEC{Greer and Sokol, 2012, #7127}</w:instrText>
      </w:r>
      <w:r>
        <w:fldChar w:fldCharType="separate"/>
      </w:r>
      <w:r>
        <w:t>(Greer and Sokol, 2012)</w:t>
      </w:r>
      <w:r>
        <w:fldChar w:fldCharType="end"/>
      </w:r>
      <w:r w:rsidRPr="004D740E">
        <w:rPr>
          <w:rFonts w:ascii="Times New Roman" w:hAnsi="Times New Roman"/>
        </w:rPr>
        <w:t>. The result was that it was often misunderstood, with genuine accomplishments in areas from gender equality to working hours to infrastructure in peripheral Europe underrated amidst frustration. Neither was it as politically popular and powerful as its advocates o</w:t>
      </w:r>
      <w:r>
        <w:rPr>
          <w:rFonts w:ascii="Times New Roman" w:hAnsi="Times New Roman"/>
        </w:rPr>
        <w:t>ften suggested. Even before the 2008</w:t>
      </w:r>
      <w:r w:rsidRPr="004D740E">
        <w:rPr>
          <w:rFonts w:ascii="Times New Roman" w:hAnsi="Times New Roman"/>
        </w:rPr>
        <w:t xml:space="preserve"> financial crisis, EU member states, predominantly of the right, pressed the EU to focus on “competitiveness” and economic growth, with social policy often viewed just as costs, and only occasionally as contributors to growth. The aftermath of the financial crisis weakened the social Europe agenda yet further, as member states and the European institutions focused on austere fiscal and social policies and market deregulation. </w:t>
      </w:r>
    </w:p>
    <w:p w:rsidR="00F97AA5" w:rsidRPr="004D740E" w:rsidRDefault="00F97AA5" w:rsidP="00F97AA5">
      <w:pPr>
        <w:rPr>
          <w:rFonts w:ascii="Times New Roman" w:hAnsi="Times New Roman"/>
        </w:rPr>
      </w:pPr>
      <w:r w:rsidRPr="004D740E">
        <w:rPr>
          <w:rFonts w:ascii="Times New Roman" w:hAnsi="Times New Roman"/>
        </w:rPr>
        <w:tab/>
        <w:t xml:space="preserve">The idea nonetheless lives on- and it might be strengthened, become more precise, and become more effective in an EU without the UK. This chapter first discusses the underlying social dynamics, principally to do with labor mobility, and how Brexit will change them. The UK has been the labor market of last resort for the continent for some years, and that has shaped careers, life chances, and policy options for all EU member states. Without the UK labor market as part of Europe, options for Europeans, and for British policymakers, will change. In general, it will be negative-sum. </w:t>
      </w:r>
    </w:p>
    <w:p w:rsidR="00F97AA5" w:rsidRPr="004D740E" w:rsidRDefault="00F97AA5" w:rsidP="00F97AA5">
      <w:pPr>
        <w:ind w:firstLine="720"/>
        <w:rPr>
          <w:rFonts w:ascii="Times New Roman" w:hAnsi="Times New Roman"/>
        </w:rPr>
      </w:pPr>
      <w:r w:rsidRPr="004D740E">
        <w:rPr>
          <w:rFonts w:ascii="Times New Roman" w:hAnsi="Times New Roman"/>
        </w:rPr>
        <w:t>It then turns to the politics, working through the consequences for the EU social policy of su</w:t>
      </w:r>
      <w:r>
        <w:rPr>
          <w:rFonts w:ascii="Times New Roman" w:hAnsi="Times New Roman"/>
        </w:rPr>
        <w:t>btracting the UK. T</w:t>
      </w:r>
      <w:r w:rsidRPr="004D740E">
        <w:rPr>
          <w:rFonts w:ascii="Times New Roman" w:hAnsi="Times New Roman"/>
        </w:rPr>
        <w:t>he loss</w:t>
      </w:r>
      <w:r>
        <w:rPr>
          <w:rFonts w:ascii="Times New Roman" w:hAnsi="Times New Roman"/>
        </w:rPr>
        <w:t xml:space="preserve"> of the UK is a </w:t>
      </w:r>
      <w:r w:rsidRPr="004D740E">
        <w:rPr>
          <w:rFonts w:ascii="Times New Roman" w:hAnsi="Times New Roman"/>
        </w:rPr>
        <w:t xml:space="preserve">blow to the northern/eastern liberal bloc in the EU, and will empower France. The consequences for social policy over time might be dramatic.  Agenda-setting will change to reflect the new veto players, and what might have been nondecisions might become decisions. Blame-avoidance techniques will change without the UK around to attract blame for liberalization. This should shape the content of policy, not just to </w:t>
      </w:r>
      <w:r w:rsidRPr="004D740E">
        <w:rPr>
          <w:rFonts w:ascii="Times New Roman" w:hAnsi="Times New Roman"/>
        </w:rPr>
        <w:lastRenderedPageBreak/>
        <w:t xml:space="preserve">reflect any shared Franco-German preferences but also to reflect an agenda on which the presence of the UK does not quash alternatives or enable liberal projects. </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b/>
        </w:rPr>
      </w:pPr>
      <w:r w:rsidRPr="004D740E">
        <w:rPr>
          <w:rFonts w:ascii="Times New Roman" w:hAnsi="Times New Roman"/>
          <w:b/>
        </w:rPr>
        <w:t>Social</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The UK has long been the labor market of last resort for Europe. It has a relatively flexible and open labor market with relatively effective antidiscrimination and merit-based hiring procedures in many organizations</w:t>
      </w:r>
      <w:r>
        <w:rPr>
          <w:rFonts w:ascii="Times New Roman" w:hAnsi="Times New Roman"/>
        </w:rPr>
        <w:t xml:space="preserve"> </w:t>
      </w:r>
      <w:r>
        <w:fldChar w:fldCharType="begin"/>
      </w:r>
      <w:r>
        <w:instrText>ADDIN BEC{Favell and Barbulescu, 2018, #42785}</w:instrText>
      </w:r>
      <w:r>
        <w:fldChar w:fldCharType="separate"/>
      </w:r>
      <w:r>
        <w:t>(Favell and Barbulescu, 2018)</w:t>
      </w:r>
      <w:r>
        <w:fldChar w:fldCharType="end"/>
      </w:r>
      <w:r w:rsidRPr="004D740E">
        <w:rPr>
          <w:rFonts w:ascii="Times New Roman" w:hAnsi="Times New Roman"/>
        </w:rPr>
        <w:t>. This lightly (often too lightly) regulated labor market means that jobs are relatively accessible compared to many EU member states, even if they are by continental standards mostly precarious jobs. Its lack of a strong and systematic training regime, which is by many standards a problem, at least means that it can easily integrate immigrants and their skills, as compared to the problems that the “German skills machine” has in making best use of immigrants who were not tracked into the system during their school years. The UK’s liberal labor market also means that workers in sectors with high marginal revenue, such as finan</w:t>
      </w:r>
      <w:r>
        <w:rPr>
          <w:rFonts w:ascii="Times New Roman" w:hAnsi="Times New Roman"/>
        </w:rPr>
        <w:t xml:space="preserve">ce and law, are paid very well. </w:t>
      </w:r>
      <w:r w:rsidRPr="004D740E">
        <w:rPr>
          <w:rFonts w:ascii="Times New Roman" w:hAnsi="Times New Roman"/>
        </w:rPr>
        <w:t xml:space="preserve">Finally, it is a large country. It can absorb a large number of immigrants into its population. </w:t>
      </w:r>
    </w:p>
    <w:p w:rsidR="00F97AA5" w:rsidRPr="004D740E" w:rsidRDefault="00F97AA5" w:rsidP="00F97AA5">
      <w:pPr>
        <w:rPr>
          <w:rFonts w:ascii="Times New Roman" w:hAnsi="Times New Roman"/>
        </w:rPr>
      </w:pPr>
      <w:r w:rsidRPr="004D740E">
        <w:rPr>
          <w:rFonts w:ascii="Times New Roman" w:hAnsi="Times New Roman"/>
        </w:rPr>
        <w:tab/>
        <w:t>The effect is that the UK labor market has taken a large share of European Union migration since before the 2004 enlargement, and even more</w:t>
      </w:r>
      <w:r>
        <w:rPr>
          <w:rFonts w:ascii="Times New Roman" w:hAnsi="Times New Roman"/>
        </w:rPr>
        <w:t xml:space="preserve"> </w:t>
      </w:r>
      <w:r w:rsidRPr="004D740E">
        <w:rPr>
          <w:rFonts w:ascii="Times New Roman" w:hAnsi="Times New Roman"/>
        </w:rPr>
        <w:t xml:space="preserve">pronouncedly since then. Further, it has taken immigrants at all skill levels, from unskilled labor to highly skilled professionals. Migration often works through networks, and so once there are a group of migrants from a given country in a particular place, they will facilitate more migration. The result is that migration flows are substantially path-dependent and often point to the UK. </w:t>
      </w:r>
    </w:p>
    <w:p w:rsidR="00F97AA5" w:rsidRPr="004D740E" w:rsidRDefault="00F97AA5" w:rsidP="00F97AA5">
      <w:pPr>
        <w:rPr>
          <w:rFonts w:ascii="Times New Roman" w:hAnsi="Times New Roman"/>
        </w:rPr>
      </w:pPr>
      <w:r w:rsidRPr="004D740E">
        <w:rPr>
          <w:rFonts w:ascii="Times New Roman" w:hAnsi="Times New Roman"/>
        </w:rPr>
        <w:tab/>
        <w:t xml:space="preserve">This has been in many ways positive sum: a boon for the UK and for individual migrants. For the UK, being a source of relatively desirable and accessible jobs with unusually low migration costs has allowed it to underpay for many positions relative to the international average. Coases’s “make versus buy” decision applies to population as well as the firms studied by Coase, and the UK has been able to avoid the cost of producing enough of its own skilled labor by buying in Europeans </w:t>
      </w:r>
      <w:r>
        <w:fldChar w:fldCharType="begin"/>
      </w:r>
      <w:r>
        <w:instrText>ADDIN BEC{Coase, 1937, #62}</w:instrText>
      </w:r>
      <w:r>
        <w:fldChar w:fldCharType="separate"/>
      </w:r>
      <w:r>
        <w:t>(Coase, 1937)</w:t>
      </w:r>
      <w:r>
        <w:fldChar w:fldCharType="end"/>
      </w:r>
      <w:r w:rsidRPr="004D740E">
        <w:rPr>
          <w:rFonts w:ascii="Times New Roman" w:hAnsi="Times New Roman"/>
        </w:rPr>
        <w:t xml:space="preserve">.  In highly skilled professions such as health care and science, the UK has been able to buy itself globally high quality services at a lower price than it would pay if it were competing with the United States. </w:t>
      </w:r>
    </w:p>
    <w:p w:rsidR="00F97AA5" w:rsidRPr="004D740E" w:rsidRDefault="00F97AA5" w:rsidP="00F97AA5">
      <w:pPr>
        <w:rPr>
          <w:rFonts w:ascii="Times New Roman" w:hAnsi="Times New Roman"/>
        </w:rPr>
      </w:pPr>
      <w:r w:rsidRPr="004D740E">
        <w:rPr>
          <w:rFonts w:ascii="Times New Roman" w:hAnsi="Times New Roman"/>
        </w:rPr>
        <w:tab/>
        <w:t xml:space="preserve">For individual migrants, the exit option was often a rational response to the problems of their home country and the options available elsewhere. Take the example of healthcare workforce </w:t>
      </w:r>
      <w:r>
        <w:fldChar w:fldCharType="begin"/>
      </w:r>
      <w:r>
        <w:instrText>ADDIN BEC{Glinos, 2012, #7212}</w:instrText>
      </w:r>
      <w:r>
        <w:fldChar w:fldCharType="separate"/>
      </w:r>
      <w:r>
        <w:t>(Glinos, 2012)</w:t>
      </w:r>
      <w:r>
        <w:fldChar w:fldCharType="end"/>
      </w:r>
      <w:r w:rsidRPr="004D740E">
        <w:rPr>
          <w:rFonts w:ascii="Times New Roman" w:hAnsi="Times New Roman"/>
        </w:rPr>
        <w:t>. In some European countries there was simple overproduction: the education of more nurses, for example, than the health system could employ. This led to emigration by skilled healthcare workers. In others, the pay was simply better abroad. In many further cases, the work is more interesting in richer countries and bigger, more diverse populations- while a London teaching hospital is a stressful work environment, it also affords a rare level of exposure to cutting-edge medicine and interesting patients. The contrast with conditions at home could be dramatic.</w:t>
      </w:r>
      <w:r>
        <w:rPr>
          <w:rFonts w:ascii="Times New Roman" w:hAnsi="Times New Roman"/>
        </w:rPr>
        <w:t xml:space="preserve"> </w:t>
      </w:r>
      <w:r w:rsidRPr="004D740E">
        <w:rPr>
          <w:rFonts w:ascii="Times New Roman" w:hAnsi="Times New Roman"/>
        </w:rPr>
        <w:t xml:space="preserve"> Soviet medicine, which was imposed on the Baltic states and to some extent exported to other CEE countries, converted medicine into a relatively low-status, heavily managed, and largely feminized profession. Compared to that sort of workplace, almost any Western European country offers more attractive options. In all of these cases, the UK’s size, relatively interesting workplaces, bureaucratized meritocratic hiring with a strong antidiscrimination norm and relatively good pay made it attractive- and the EU substantially reduced the transaction costs to employer and employee of contracting a person from another member state </w:t>
      </w:r>
      <w:r>
        <w:fldChar w:fldCharType="begin"/>
      </w:r>
      <w:r>
        <w:instrText>ADDIN BEC{Favell and Barbulescu, 2018, #42785}</w:instrText>
      </w:r>
      <w:r>
        <w:fldChar w:fldCharType="separate"/>
      </w:r>
      <w:r>
        <w:t>(Favell and Barbulescu, 2018)</w:t>
      </w:r>
      <w:r>
        <w:fldChar w:fldCharType="end"/>
      </w:r>
      <w:r w:rsidRPr="004D740E">
        <w:rPr>
          <w:rFonts w:ascii="Times New Roman" w:hAnsi="Times New Roman"/>
        </w:rPr>
        <w:t xml:space="preserve">. </w:t>
      </w:r>
    </w:p>
    <w:p w:rsidR="00F97AA5" w:rsidRPr="004D740E" w:rsidRDefault="00F97AA5" w:rsidP="00F97AA5">
      <w:pPr>
        <w:ind w:firstLine="720"/>
        <w:rPr>
          <w:rFonts w:ascii="Times New Roman" w:hAnsi="Times New Roman"/>
        </w:rPr>
      </w:pPr>
      <w:r w:rsidRPr="004D740E">
        <w:rPr>
          <w:rFonts w:ascii="Times New Roman" w:hAnsi="Times New Roman"/>
        </w:rPr>
        <w:lastRenderedPageBreak/>
        <w:t xml:space="preserve">The losers under this arrangement were those who did not benefit from this very competitive UK labor market: countries of emigration, and less competitive UK citizens.  Countries that experienced significant labor loss, mostly those in the south and east of the EU, faced a series of problems: loss of prime working age, and often educated, citizens led to difficulties staffing and building enterprises and providing public services, and created longer-term worries about how to finance pension and social welfare in countries that have low birthrates and high emigration. It is very unclear how most CEE and southern European countries can finance their pension liabilities with their current demographics. On the other end, British citizens who could not compete with the wages or skills of immigrants </w:t>
      </w:r>
      <w:r>
        <w:rPr>
          <w:rFonts w:ascii="Times New Roman" w:hAnsi="Times New Roman"/>
        </w:rPr>
        <w:t xml:space="preserve">might not have felt that they were being sufficiently compensated by </w:t>
      </w:r>
      <w:r w:rsidRPr="004D740E">
        <w:rPr>
          <w:rFonts w:ascii="Times New Roman" w:hAnsi="Times New Roman"/>
        </w:rPr>
        <w:t xml:space="preserve">lower prices and general economic growth. Third country nationals (e.g. citizens of India) might be considered losers if we assume that the UK, without EU immigration, would recruit their citizens instead. That motivated the votes of some in Britain who feel more kinship with people outside the EU, but it misread the politics of immigration, which was about ethnicity, race and national identity rather than specific resentment of EU citizens </w:t>
      </w:r>
      <w:r>
        <w:fldChar w:fldCharType="begin"/>
      </w:r>
      <w:r>
        <w:instrText>ADDIN BEC{Favell and Barbulescu, 2018, #42785}</w:instrText>
      </w:r>
      <w:r>
        <w:fldChar w:fldCharType="separate"/>
      </w:r>
      <w:r>
        <w:t>(Favell and Barbulescu, 2018)</w:t>
      </w:r>
      <w:r>
        <w:fldChar w:fldCharType="end"/>
      </w:r>
      <w:r w:rsidRPr="004D740E">
        <w:rPr>
          <w:rFonts w:ascii="Times New Roman" w:hAnsi="Times New Roman"/>
        </w:rPr>
        <w:t xml:space="preserve">. </w:t>
      </w:r>
    </w:p>
    <w:p w:rsidR="00F97AA5" w:rsidRPr="004D740E" w:rsidRDefault="00F97AA5" w:rsidP="00F97AA5">
      <w:pPr>
        <w:rPr>
          <w:rFonts w:ascii="Times New Roman" w:hAnsi="Times New Roman"/>
        </w:rPr>
      </w:pPr>
      <w:r w:rsidRPr="004D740E">
        <w:rPr>
          <w:rFonts w:ascii="Times New Roman" w:hAnsi="Times New Roman"/>
        </w:rPr>
        <w:tab/>
        <w:t>Brexit, in the hands of British politicians who read polls suggesting a very high level of concern about immigration, has taken on the attributes of an anti-immigration policy. After decades during which those who endorsed and benefitted from immigration dominated UK politics, the situation is reversed. Theresa May’s flagship policy of creating a “hostile environment” for undocumented immigrants has been successful in creating a hostile environment for almost all immigrants. As a result, Brexit is likely to mean a slow end to the UK’s role as the labor market of last resort. That will raise the price of labor for the UK- if UK employers want to recruit doctors or professors internationally, they will have to compete with the United States on salary and Australia on lifestyle. It might induce the UK to invest more seriously in training its own workforce, though that seems unlikely given the track recor</w:t>
      </w:r>
      <w:r>
        <w:rPr>
          <w:rFonts w:ascii="Times New Roman" w:hAnsi="Times New Roman"/>
        </w:rPr>
        <w:t>d of the UK in training and its political system’s</w:t>
      </w:r>
      <w:r w:rsidRPr="004D740E">
        <w:rPr>
          <w:rFonts w:ascii="Times New Roman" w:hAnsi="Times New Roman"/>
        </w:rPr>
        <w:t xml:space="preserve"> tendency to view education as a private investment for private gain (e.g. in its tuition fees policy). </w:t>
      </w:r>
    </w:p>
    <w:p w:rsidR="00F97AA5" w:rsidRPr="004D740E" w:rsidRDefault="00F97AA5" w:rsidP="00F97AA5">
      <w:pPr>
        <w:rPr>
          <w:rFonts w:ascii="Times New Roman" w:hAnsi="Times New Roman"/>
        </w:rPr>
      </w:pPr>
      <w:r w:rsidRPr="004D740E">
        <w:rPr>
          <w:rFonts w:ascii="Times New Roman" w:hAnsi="Times New Roman"/>
        </w:rPr>
        <w:tab/>
        <w:t xml:space="preserve">These changes will all be slow and work on the margins- in the economics sense of the marginal case. Brexit makes it less likely that the marginal European thinking about moving to the UK can and does do so. It makes it more likely that the marginal European thinking about leaving will choose to do so. There is tremendous stickiness in social relations and we will not know the speed of the changes due to Brexit for some time. But change happens on the margins, and changing the probabilities of EU member state citizens coming to or staying in the UK changes the constraints and opportunities for the UK, member states, and people.  </w:t>
      </w:r>
    </w:p>
    <w:p w:rsidR="00F97AA5" w:rsidRPr="004D740E" w:rsidRDefault="00F97AA5" w:rsidP="00F97AA5">
      <w:pPr>
        <w:rPr>
          <w:rFonts w:ascii="Times New Roman" w:hAnsi="Times New Roman"/>
        </w:rPr>
      </w:pPr>
      <w:r w:rsidRPr="004D740E">
        <w:rPr>
          <w:rFonts w:ascii="Times New Roman" w:hAnsi="Times New Roman"/>
        </w:rPr>
        <w:tab/>
        <w:t xml:space="preserve">What will the end of the UK labor market option mean for Europe? In a perfect world, this would be an opportunity for EU member states that have exported migrants to address the push factors that led their citizens to leave. In practice it is hard to see how the loss of the UK exit option will induce Italy to reform higher education hiring or compel Bulgaria to make working in the state health system more attractive. Neither resources nor domestic politics point to that. The individual migrants who would have been able to take advantage of the UK exit option will not only lose that option, but are also unlikely to find better options at home. Returning home in order to suffer from a skills mismatch is a waste of human capital, and wasting human capital does not make it easier to pay for future pensions. </w:t>
      </w:r>
    </w:p>
    <w:p w:rsidR="00F97AA5" w:rsidRPr="004D740E" w:rsidRDefault="00F97AA5" w:rsidP="00F97AA5">
      <w:pPr>
        <w:rPr>
          <w:rFonts w:ascii="Times New Roman" w:hAnsi="Times New Roman"/>
        </w:rPr>
      </w:pPr>
      <w:r w:rsidRPr="004D740E">
        <w:rPr>
          <w:rFonts w:ascii="Times New Roman" w:hAnsi="Times New Roman"/>
        </w:rPr>
        <w:tab/>
        <w:t xml:space="preserve">One option is that migrants who want to leave the UK, or who would have gone were it not for Brexit, enter the labor markets of other EU member states. A few medium-sized countries such as the Netherlands, Ireland, and Sweden run relatively meritocratic labor markets, but their </w:t>
      </w:r>
      <w:r w:rsidRPr="004D740E">
        <w:rPr>
          <w:rFonts w:ascii="Times New Roman" w:hAnsi="Times New Roman"/>
        </w:rPr>
        <w:lastRenderedPageBreak/>
        <w:t>populations, added together, are half that of England alone</w:t>
      </w:r>
      <w:r>
        <w:rPr>
          <w:rFonts w:ascii="Times New Roman" w:hAnsi="Times New Roman"/>
        </w:rPr>
        <w:t xml:space="preserve">. Even highly skilled migrants find it very hard to surmount the obstacles to establishing a stable life in the Netherlands, and tend to leave after a fairly short stay </w:t>
      </w:r>
      <w:r w:rsidRPr="00F97AA5">
        <w:rPr>
          <w:rFonts w:ascii="Times New Roman" w:hAnsi="Times New Roman"/>
        </w:rPr>
        <w:fldChar w:fldCharType="begin"/>
      </w:r>
      <w:r w:rsidRPr="00F97AA5">
        <w:rPr>
          <w:rFonts w:ascii="Times New Roman" w:hAnsi="Times New Roman"/>
        </w:rPr>
        <w:instrText>ADDIN BEC{Favell, 2014, #37447}</w:instrText>
      </w:r>
      <w:r w:rsidRPr="00F97AA5">
        <w:rPr>
          <w:rFonts w:ascii="Times New Roman" w:hAnsi="Times New Roman"/>
        </w:rPr>
        <w:fldChar w:fldCharType="separate"/>
      </w:r>
      <w:r w:rsidRPr="00F97AA5">
        <w:rPr>
          <w:rFonts w:ascii="Times New Roman" w:hAnsi="Times New Roman"/>
        </w:rPr>
        <w:t>(Favell, 2014)</w:t>
      </w:r>
      <w:r w:rsidRPr="00F97AA5">
        <w:rPr>
          <w:rFonts w:ascii="Times New Roman" w:hAnsi="Times New Roman"/>
        </w:rPr>
        <w:fldChar w:fldCharType="end"/>
      </w:r>
      <w:r w:rsidRPr="004D740E">
        <w:rPr>
          <w:rFonts w:ascii="Times New Roman" w:hAnsi="Times New Roman"/>
        </w:rPr>
        <w:t xml:space="preserve">. France and Germany are the countries with the size to potentially absorb large numbers of migrants, and Germany in particular does already have large numbers of citizens from other member states working. The problem with both is that large numbers of their jobs are inaccessible due to training, regulatory, and hiring issues, or can only be accessed at the price of precarity (e.g. through temporary workers’ contracts). Nor are their politics necessarily going to lead to a welcome for new migrants from other EU member states. </w:t>
      </w:r>
      <w:r>
        <w:rPr>
          <w:rFonts w:ascii="Times New Roman" w:hAnsi="Times New Roman"/>
        </w:rPr>
        <w:t xml:space="preserve">One of the few consistencies of French politics in the twenty-first century is all parties’ reluctance to accept new immigrants. </w:t>
      </w:r>
    </w:p>
    <w:p w:rsidR="00F97AA5" w:rsidRPr="004D740E" w:rsidRDefault="00F97AA5" w:rsidP="00F97AA5">
      <w:pPr>
        <w:rPr>
          <w:rFonts w:ascii="Times New Roman" w:hAnsi="Times New Roman"/>
        </w:rPr>
      </w:pPr>
      <w:r w:rsidRPr="004D740E">
        <w:rPr>
          <w:rFonts w:ascii="Times New Roman" w:hAnsi="Times New Roman"/>
        </w:rPr>
        <w:tab/>
        <w:t xml:space="preserve">In short, Brexit is likely to be negative-sum from the perspective of the welfare state. In terms of staffing the welfare state, the UK has been able to draw on the highly skilled researchers and healthcare professionals of a continent, at relatively low wages, because it could outcompete domestic employers in meritocratic hiring, pay, and often the quality of the workplace. The UK in aggregate also benefitted from the immigration of Europeans who did not happen to be professionals in health or education, since a large population of working-age and often skilled people could lower wages and increase competition. The losers under this arrangement were UK citizens exposed to unwanted competition, and EU member states facing a brain drain that could undermine their ability to finance and staff their own welfare states. Now, the UK, which immigration allowed to underinvest in education and training, will need to educate and train more, or pay much better in order to recruit staff on the open market while drawing on an economy undermined by Brexit… or just see itself decline in both services such as health care </w:t>
      </w:r>
      <w:r>
        <w:rPr>
          <w:rFonts w:ascii="Times New Roman" w:hAnsi="Times New Roman"/>
        </w:rPr>
        <w:t xml:space="preserve">and </w:t>
      </w:r>
      <w:r w:rsidRPr="004D740E">
        <w:rPr>
          <w:rFonts w:ascii="Times New Roman" w:hAnsi="Times New Roman"/>
        </w:rPr>
        <w:t>some of the key high-end services exports where it has done well in recent decades such as higher education. Other rich EU member states have an opportunity to gain immigrants who could staff or work to finance their welfare states, but labor market</w:t>
      </w:r>
      <w:r>
        <w:rPr>
          <w:rFonts w:ascii="Times New Roman" w:hAnsi="Times New Roman"/>
        </w:rPr>
        <w:t xml:space="preserve">, housing markets, </w:t>
      </w:r>
      <w:r w:rsidRPr="004D740E">
        <w:rPr>
          <w:rFonts w:ascii="Times New Roman" w:hAnsi="Times New Roman"/>
        </w:rPr>
        <w:t>training s</w:t>
      </w:r>
      <w:r>
        <w:rPr>
          <w:rFonts w:ascii="Times New Roman" w:hAnsi="Times New Roman"/>
        </w:rPr>
        <w:t>ystems and the rise of xenophobic politics could make it difficult.</w:t>
      </w:r>
    </w:p>
    <w:p w:rsidR="00F97AA5" w:rsidRPr="004D740E" w:rsidRDefault="00F97AA5" w:rsidP="00F97AA5">
      <w:pPr>
        <w:rPr>
          <w:rFonts w:ascii="Times New Roman" w:hAnsi="Times New Roman"/>
        </w:rPr>
      </w:pPr>
      <w:r w:rsidRPr="004D740E">
        <w:rPr>
          <w:rFonts w:ascii="Times New Roman" w:hAnsi="Times New Roman"/>
        </w:rPr>
        <w:tab/>
        <w:t xml:space="preserve">The demographic problems of the EU exacerbate the challenge. The first EU problem is that many of its member states are in headlong demographic decline, and some of the member states with the steepest demographic declines are among the most reluctant to accept immigrants (e.g. the Visegrad states). Broadly, ageing societies have specific though sometimes overstated sustainability challenges. In the context of the EU, migration can make it worse: many peripheral southern and eastern states have seen the exit of many of their skilled young (11% of the population of Romania has emigrated during EU membership). Given that the EU has no mechanism for sharing the costs of welfare states, who is supposed to pay for the elderly in states that are losing population? Many CEE states look relatively good in terms of international statistics about the sustainability of their pensions because their pensions are so minimal, but that only masks and privatizes the scale of the challenge of ageing societies with low birthrates, poor public health, and serious out-migration. </w:t>
      </w:r>
    </w:p>
    <w:p w:rsidR="00F97AA5" w:rsidRPr="004D740E" w:rsidRDefault="00F97AA5" w:rsidP="00F97AA5">
      <w:pPr>
        <w:ind w:firstLine="720"/>
        <w:rPr>
          <w:rFonts w:ascii="Times New Roman" w:hAnsi="Times New Roman"/>
        </w:rPr>
      </w:pPr>
      <w:r w:rsidRPr="004D740E">
        <w:rPr>
          <w:rFonts w:ascii="Times New Roman" w:hAnsi="Times New Roman"/>
        </w:rPr>
        <w:t>So far we have spoken of just numbers, but once again, skills profiles matter. Demographers and policymakers customarily speak of welfare state sustainability in terms of simple ratios of working-age to non-working-age populations. This of course ignores productivity. More productive working age people can sustain more non-working age people. Thus, if a country in steep demographic decline such as Austria can maintain high and growing productivit</w:t>
      </w:r>
      <w:r>
        <w:rPr>
          <w:rFonts w:ascii="Times New Roman" w:hAnsi="Times New Roman"/>
        </w:rPr>
        <w:t xml:space="preserve">y per worker, it can maintain an extensive </w:t>
      </w:r>
      <w:r w:rsidRPr="004D740E">
        <w:rPr>
          <w:rFonts w:ascii="Times New Roman" w:hAnsi="Times New Roman"/>
        </w:rPr>
        <w:t xml:space="preserve">welfare state for longer. Forgetting productivity also, however, means that migration is misinterpreted. The “German skills machine” depends on long-term employment for many workers who were tracked into training and </w:t>
      </w:r>
      <w:r w:rsidRPr="004D740E">
        <w:rPr>
          <w:rFonts w:ascii="Times New Roman" w:hAnsi="Times New Roman"/>
        </w:rPr>
        <w:lastRenderedPageBreak/>
        <w:t>education and apprenticeship early in their l</w:t>
      </w:r>
      <w:r>
        <w:rPr>
          <w:rFonts w:ascii="Times New Roman" w:hAnsi="Times New Roman"/>
        </w:rPr>
        <w:t>ives</w:t>
      </w:r>
      <w:r w:rsidRPr="004D740E">
        <w:rPr>
          <w:rFonts w:ascii="Times New Roman" w:hAnsi="Times New Roman"/>
        </w:rPr>
        <w:t>. It is not set up to make the best use of a newly arrived thirty-year-old pharmacist from Syria</w:t>
      </w:r>
      <w:r>
        <w:rPr>
          <w:rFonts w:ascii="Times New Roman" w:hAnsi="Times New Roman"/>
        </w:rPr>
        <w:t xml:space="preserve"> or even a Spaniard with a new masters degree</w:t>
      </w:r>
      <w:r w:rsidRPr="004D740E">
        <w:rPr>
          <w:rFonts w:ascii="Times New Roman" w:hAnsi="Times New Roman"/>
        </w:rPr>
        <w:t xml:space="preserve">. Many of the European countries with the highest productivity per worker have such high productivity precisely because of such deliberately rigid skills systems. Their ability to integrate migrants at high levels of productivity is unclear. </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i/>
        </w:rPr>
      </w:pPr>
      <w:r w:rsidRPr="004D740E">
        <w:rPr>
          <w:rFonts w:ascii="Times New Roman" w:hAnsi="Times New Roman"/>
          <w:b/>
        </w:rPr>
        <w:t>Policy</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“The European social model is already gone”</w:t>
      </w:r>
    </w:p>
    <w:p w:rsidR="00F97AA5" w:rsidRPr="004D740E" w:rsidRDefault="00F97AA5" w:rsidP="00F97AA5">
      <w:pPr>
        <w:pStyle w:val="ListParagraph"/>
        <w:numPr>
          <w:ilvl w:val="0"/>
          <w:numId w:val="2"/>
        </w:numPr>
        <w:rPr>
          <w:rFonts w:ascii="Times New Roman" w:hAnsi="Times New Roman"/>
        </w:rPr>
      </w:pPr>
      <w:r w:rsidRPr="004D740E">
        <w:rPr>
          <w:rFonts w:ascii="Times New Roman" w:hAnsi="Times New Roman"/>
        </w:rPr>
        <w:t>Mario Draghi</w:t>
      </w:r>
      <w:r>
        <w:rPr>
          <w:rFonts w:ascii="Times New Roman" w:hAnsi="Times New Roman"/>
        </w:rPr>
        <w:t xml:space="preserve"> (cited in </w:t>
      </w:r>
      <w:r w:rsidRPr="0047387E">
        <w:rPr>
          <w:rFonts w:ascii="Times New Roman" w:hAnsi="Times New Roman"/>
        </w:rPr>
        <w:fldChar w:fldCharType="begin"/>
      </w:r>
      <w:r w:rsidRPr="0047387E">
        <w:rPr>
          <w:rFonts w:ascii="Times New Roman" w:hAnsi="Times New Roman"/>
        </w:rPr>
        <w:instrText>ADDIN BEC{Greer and Jarman, 2016, #11376}</w:instrText>
      </w:r>
      <w:r w:rsidRPr="0047387E">
        <w:rPr>
          <w:rFonts w:ascii="Times New Roman" w:hAnsi="Times New Roman"/>
        </w:rPr>
        <w:fldChar w:fldCharType="separate"/>
      </w:r>
      <w:r w:rsidRPr="0047387E">
        <w:rPr>
          <w:rFonts w:ascii="Times New Roman" w:hAnsi="Times New Roman"/>
        </w:rPr>
        <w:t>(Greer and Jarman, 2016a)</w:t>
      </w:r>
      <w:r w:rsidRPr="0047387E">
        <w:rPr>
          <w:rFonts w:ascii="Times New Roman" w:hAnsi="Times New Roman"/>
        </w:rPr>
        <w:fldChar w:fldCharType="end"/>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What, then, of policy and politics? </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i/>
        </w:rPr>
      </w:pPr>
      <w:r w:rsidRPr="004D740E">
        <w:rPr>
          <w:rFonts w:ascii="Times New Roman" w:hAnsi="Times New Roman"/>
          <w:i/>
        </w:rPr>
        <w:t>What is EU social policy?</w:t>
      </w:r>
    </w:p>
    <w:p w:rsidR="00F97AA5" w:rsidRPr="004D740E" w:rsidRDefault="00F97AA5" w:rsidP="00F97AA5">
      <w:pPr>
        <w:rPr>
          <w:rFonts w:ascii="Times New Roman" w:hAnsi="Times New Roman"/>
          <w:i/>
        </w:rPr>
      </w:pPr>
    </w:p>
    <w:p w:rsidR="00F97AA5" w:rsidRPr="004D740E" w:rsidRDefault="00F97AA5" w:rsidP="00F97AA5">
      <w:pPr>
        <w:rPr>
          <w:rFonts w:ascii="Times New Roman" w:hAnsi="Times New Roman"/>
        </w:rPr>
      </w:pPr>
      <w:r w:rsidRPr="004D740E">
        <w:rPr>
          <w:rFonts w:ascii="Times New Roman" w:hAnsi="Times New Roman"/>
        </w:rPr>
        <w:t xml:space="preserve">EU social policy does not look or work like the social policies of the member states. The problem of comparability that shapes EU studies is particularly important here </w:t>
      </w:r>
      <w:r>
        <w:fldChar w:fldCharType="begin"/>
      </w:r>
      <w:r>
        <w:instrText>ADDIN BEC{Dehousse, 1994, #819}</w:instrText>
      </w:r>
      <w:r>
        <w:fldChar w:fldCharType="separate"/>
      </w:r>
      <w:r>
        <w:t>(Dehousse, 1994)</w:t>
      </w:r>
      <w:r>
        <w:fldChar w:fldCharType="end"/>
      </w:r>
      <w:r w:rsidRPr="004D740E">
        <w:rPr>
          <w:rFonts w:ascii="Times New Roman" w:hAnsi="Times New Roman"/>
        </w:rPr>
        <w:t xml:space="preserve">. The EU cannot be simply compared to its member states because it does fundamentally different and generally more limited things (if there is a source of comparisons, it is in comparative federalism). Thus, its social policy reflects three major attributes of the EU. First, the EU is a regulatory polity </w:t>
      </w:r>
      <w:r>
        <w:fldChar w:fldCharType="begin"/>
      </w:r>
      <w:r>
        <w:instrText>ADDIN BEC{Majone, 1996, #1001}</w:instrText>
      </w:r>
      <w:r>
        <w:fldChar w:fldCharType="separate"/>
      </w:r>
      <w:r>
        <w:t>(Majone, 1996)</w:t>
      </w:r>
      <w:r>
        <w:fldChar w:fldCharType="end"/>
      </w:r>
      <w:r w:rsidRPr="004D740E">
        <w:rPr>
          <w:rFonts w:ascii="Times New Roman" w:hAnsi="Times New Roman"/>
        </w:rPr>
        <w:t xml:space="preserve">. Regulation, rather than expenditure or direct action by its own staff, is the basic EU policy tool </w:t>
      </w:r>
      <w:r>
        <w:fldChar w:fldCharType="begin"/>
      </w:r>
      <w:r>
        <w:instrText>ADDIN BEC{Page, 2001, #7054}</w:instrText>
      </w:r>
      <w:r>
        <w:fldChar w:fldCharType="separate"/>
      </w:r>
      <w:r>
        <w:t>(Page, 2001)</w:t>
      </w:r>
      <w:r>
        <w:fldChar w:fldCharType="end"/>
      </w:r>
      <w:r w:rsidRPr="004D740E">
        <w:rPr>
          <w:rFonts w:ascii="Times New Roman" w:hAnsi="Times New Roman"/>
        </w:rPr>
        <w:t xml:space="preserve">. Second, the EU has a structural bias towards market-making rather than market-correcting or market-compensating activities. This is its basic constitutional asymmetry </w:t>
      </w:r>
      <w:r>
        <w:fldChar w:fldCharType="begin"/>
      </w:r>
      <w:r>
        <w:instrText>ADDIN BEC{Scharpf, 2010, #20747; Streeck, 1996, #1009}</w:instrText>
      </w:r>
      <w:r>
        <w:fldChar w:fldCharType="separate"/>
      </w:r>
      <w:r>
        <w:t>(Scharpf, 2010; Streeck, 1996)</w:t>
      </w:r>
      <w:r>
        <w:fldChar w:fldCharType="end"/>
      </w:r>
      <w:r w:rsidRPr="004D740E">
        <w:rPr>
          <w:rFonts w:ascii="Times New Roman" w:hAnsi="Times New Roman"/>
        </w:rPr>
        <w:t xml:space="preserve">- indeed, the mobility of goods, services, capital and people has often been put forward as a sort of constitutional principle in EU law. The asymmetry was visible in the treaties but has developed and been reinforced by decades of politics from the Single Europe Act to the Maastricht Treaty to the Treaty on Coordination, Stability, and Growth, has been towards broadening and deepening the internal market and restraining member state policy autonomy in economic matters. Third, European integration and EU public policy is heavily judicialized. Without the actions of its courts, in alliance with member state courts, the evolution of the EU and the specific contents of its social policies would be very different </w:t>
      </w:r>
      <w:r>
        <w:fldChar w:fldCharType="begin"/>
      </w:r>
      <w:r>
        <w:instrText>ADDIN BEC{Stone Sweet, 2004, #2079}</w:instrText>
      </w:r>
      <w:r>
        <w:fldChar w:fldCharType="separate"/>
      </w:r>
      <w:r>
        <w:t>(Stone Sweet, 2004)</w:t>
      </w:r>
      <w:r>
        <w:fldChar w:fldCharType="end"/>
      </w:r>
      <w:r w:rsidRPr="004D740E">
        <w:rPr>
          <w:rFonts w:ascii="Times New Roman" w:hAnsi="Times New Roman"/>
        </w:rPr>
        <w:t xml:space="preserve"> </w:t>
      </w:r>
      <w:r>
        <w:fldChar w:fldCharType="begin"/>
      </w:r>
      <w:r>
        <w:instrText>ADDIN BEC{Alter, 2001, #7014}</w:instrText>
      </w:r>
      <w:r>
        <w:fldChar w:fldCharType="separate"/>
      </w:r>
      <w:r>
        <w:t>(Alter, 2001)</w:t>
      </w:r>
      <w:r>
        <w:fldChar w:fldCharType="end"/>
      </w:r>
      <w:r w:rsidRPr="004D740E">
        <w:rPr>
          <w:rFonts w:ascii="Times New Roman" w:hAnsi="Times New Roman"/>
        </w:rPr>
        <w:t xml:space="preserve"> </w:t>
      </w:r>
      <w:r>
        <w:fldChar w:fldCharType="begin"/>
      </w:r>
      <w:r>
        <w:instrText>ADDIN BEC{Vauchez, 2013, #7338}</w:instrText>
      </w:r>
      <w:r>
        <w:fldChar w:fldCharType="separate"/>
      </w:r>
      <w:r>
        <w:t>(Vauchez, 2013)</w:t>
      </w:r>
      <w:r>
        <w:fldChar w:fldCharType="end"/>
      </w:r>
      <w:r w:rsidRPr="004D740E">
        <w:rPr>
          <w:rFonts w:ascii="Times New Roman" w:hAnsi="Times New Roman"/>
        </w:rPr>
        <w:t xml:space="preserve"> </w:t>
      </w:r>
      <w:r>
        <w:fldChar w:fldCharType="begin"/>
      </w:r>
      <w:r>
        <w:instrText>ADDIN BEC{Hervey, Young and Bishop, 2017, #11576}</w:instrText>
      </w:r>
      <w:r>
        <w:fldChar w:fldCharType="separate"/>
      </w:r>
      <w:r>
        <w:t>(Hervey, Young and Bishop, 2017)</w:t>
      </w:r>
      <w:r>
        <w:fldChar w:fldCharType="end"/>
      </w:r>
      <w:r w:rsidRPr="004D740E">
        <w:rPr>
          <w:rFonts w:ascii="Times New Roman" w:hAnsi="Times New Roman"/>
        </w:rPr>
        <w:t xml:space="preserve"> </w:t>
      </w:r>
      <w:r>
        <w:fldChar w:fldCharType="begin"/>
      </w:r>
      <w:r>
        <w:instrText>ADDIN BEC{Kelemen, 2011, #3561}</w:instrText>
      </w:r>
      <w:r>
        <w:fldChar w:fldCharType="separate"/>
      </w:r>
      <w:r>
        <w:t>(Kelemen, 2011)</w:t>
      </w:r>
      <w:r>
        <w:fldChar w:fldCharType="end"/>
      </w:r>
      <w:r w:rsidRPr="004D740E">
        <w:rPr>
          <w:rFonts w:ascii="Times New Roman" w:hAnsi="Times New Roman"/>
        </w:rPr>
        <w:t xml:space="preserve">(Jarman 2018).  </w:t>
      </w:r>
    </w:p>
    <w:p w:rsidR="00F97AA5" w:rsidRPr="004D740E" w:rsidRDefault="00F97AA5" w:rsidP="00F97AA5">
      <w:pPr>
        <w:ind w:firstLine="720"/>
        <w:rPr>
          <w:rFonts w:ascii="Times New Roman" w:hAnsi="Times New Roman"/>
        </w:rPr>
      </w:pPr>
      <w:r w:rsidRPr="004D740E">
        <w:rPr>
          <w:rFonts w:ascii="Times New Roman" w:hAnsi="Times New Roman"/>
        </w:rPr>
        <w:t xml:space="preserve">The result is that most EU social policy has been regulation of some sort, often fleshed out and expanded by the courts, and with nondiscrimination and the internal market as key goals. Resulting legislation ranges from minimum standards on workplace health and safety, e.g. the Working Time Directive, to equalities legislation covering topics such as age and gender discrimination, to a variety of cases and laws promoting and easing the cross-border mobility of goods, services, capital and people. Some of these </w:t>
      </w:r>
      <w:r>
        <w:rPr>
          <w:rFonts w:ascii="Times New Roman" w:hAnsi="Times New Roman"/>
        </w:rPr>
        <w:t>laws, such as the Working Time D</w:t>
      </w:r>
      <w:r w:rsidRPr="004D740E">
        <w:rPr>
          <w:rFonts w:ascii="Times New Roman" w:hAnsi="Times New Roman"/>
        </w:rPr>
        <w:t xml:space="preserve">irective, establish an effective floor on working conditions. Others, such as the application of nondiscrimination law to welfare states, have expanded the rights of EU citizens to access other member states’ welfare systems, a provision that is important for European integration but hardly the re-embedding of markets in welfare systems that some authors have argued </w:t>
      </w:r>
      <w:r>
        <w:fldChar w:fldCharType="begin"/>
      </w:r>
      <w:r>
        <w:instrText>ADDIN BEC{Caporaso and Tarrow, 2009, #3195}</w:instrText>
      </w:r>
      <w:r>
        <w:fldChar w:fldCharType="separate"/>
      </w:r>
      <w:r>
        <w:t>(Caporaso and Tarrow, 2009)</w:t>
      </w:r>
      <w:r>
        <w:fldChar w:fldCharType="end"/>
      </w:r>
      <w:r>
        <w:rPr>
          <w:rFonts w:ascii="Times New Roman" w:hAnsi="Times New Roman"/>
        </w:rPr>
        <w:t xml:space="preserve"> (for a response,</w:t>
      </w:r>
      <w:r w:rsidRPr="0047387E">
        <w:t xml:space="preserve"> </w:t>
      </w:r>
      <w:r w:rsidRPr="0047387E">
        <w:rPr>
          <w:rFonts w:ascii="Times New Roman" w:hAnsi="Times New Roman"/>
        </w:rPr>
        <w:fldChar w:fldCharType="begin"/>
      </w:r>
      <w:r w:rsidRPr="0047387E">
        <w:rPr>
          <w:rFonts w:ascii="Times New Roman" w:hAnsi="Times New Roman"/>
        </w:rPr>
        <w:instrText>ADDIN BEC{Höpner and Schäfer, 2010, #66140}</w:instrText>
      </w:r>
      <w:r w:rsidRPr="0047387E">
        <w:rPr>
          <w:rFonts w:ascii="Times New Roman" w:hAnsi="Times New Roman"/>
        </w:rPr>
        <w:fldChar w:fldCharType="separate"/>
      </w:r>
      <w:r w:rsidRPr="0047387E">
        <w:rPr>
          <w:rFonts w:ascii="Times New Roman" w:hAnsi="Times New Roman"/>
        </w:rPr>
        <w:t>(Höpner and Schäfer, 2010)</w:t>
      </w:r>
      <w:r w:rsidRPr="0047387E">
        <w:rPr>
          <w:rFonts w:ascii="Times New Roman" w:hAnsi="Times New Roman"/>
        </w:rPr>
        <w:fldChar w:fldCharType="end"/>
      </w:r>
      <w:r w:rsidRPr="004D740E">
        <w:rPr>
          <w:rFonts w:ascii="Times New Roman" w:hAnsi="Times New Roman"/>
        </w:rPr>
        <w:t xml:space="preserve">. It is, rather, part of a system in which the EU sets broad “rules for rights,” defining outer limits for an acceptable welfare state derived from nondiscrimination </w:t>
      </w:r>
      <w:r>
        <w:fldChar w:fldCharType="begin"/>
      </w:r>
      <w:r>
        <w:instrText>ADDIN BEC{Greer and Sokol, 2012, #7127}</w:instrText>
      </w:r>
      <w:r>
        <w:fldChar w:fldCharType="separate"/>
      </w:r>
      <w:r>
        <w:t>(Greer and Sokol, 2012)</w:t>
      </w:r>
      <w:r>
        <w:fldChar w:fldCharType="end"/>
      </w:r>
      <w:r w:rsidRPr="004D740E">
        <w:rPr>
          <w:rFonts w:ascii="Times New Roman" w:hAnsi="Times New Roman"/>
        </w:rPr>
        <w:t xml:space="preserve">. The Court’s contributions, subject of a giant </w:t>
      </w:r>
      <w:r w:rsidRPr="004D740E">
        <w:rPr>
          <w:rFonts w:ascii="Times New Roman" w:hAnsi="Times New Roman"/>
        </w:rPr>
        <w:lastRenderedPageBreak/>
        <w:t xml:space="preserve">literature in their own right, have often had their biggest effects on social policy via its application of nondiscrimination, whether positive (in application of gender equality law), negative (in the undermining of collective bargaining, e.g. the </w:t>
      </w:r>
      <w:r w:rsidRPr="004D740E">
        <w:rPr>
          <w:rFonts w:ascii="Times New Roman" w:hAnsi="Times New Roman"/>
          <w:i/>
        </w:rPr>
        <w:t>Viking</w:t>
      </w:r>
      <w:r w:rsidRPr="004D740E">
        <w:rPr>
          <w:rFonts w:ascii="Times New Roman" w:hAnsi="Times New Roman"/>
        </w:rPr>
        <w:t xml:space="preserve"> and </w:t>
      </w:r>
      <w:r w:rsidRPr="004D740E">
        <w:rPr>
          <w:rFonts w:ascii="Times New Roman" w:hAnsi="Times New Roman"/>
          <w:i/>
        </w:rPr>
        <w:t>Laval</w:t>
      </w:r>
      <w:r w:rsidRPr="004D740E">
        <w:rPr>
          <w:rFonts w:ascii="Times New Roman" w:hAnsi="Times New Roman"/>
        </w:rPr>
        <w:t xml:space="preserve"> decisions) or costly and inconvenient but essentially meaningless to social welfare (as with health care patient mobility) </w:t>
      </w:r>
    </w:p>
    <w:p w:rsidR="00F97AA5" w:rsidRPr="004D740E" w:rsidRDefault="00F97AA5" w:rsidP="00F97AA5">
      <w:pPr>
        <w:ind w:firstLine="720"/>
        <w:rPr>
          <w:rFonts w:ascii="Times New Roman" w:hAnsi="Times New Roman"/>
        </w:rPr>
      </w:pPr>
      <w:r w:rsidRPr="004D740E">
        <w:rPr>
          <w:rFonts w:ascii="Times New Roman" w:hAnsi="Times New Roman"/>
        </w:rPr>
        <w:t xml:space="preserve">As a result of these first three attributes, EU social policy is signally lacking in the key characteristic of a modern welfare state: </w:t>
      </w:r>
      <w:r w:rsidRPr="004D740E">
        <w:rPr>
          <w:rFonts w:ascii="Times New Roman" w:hAnsi="Times New Roman"/>
          <w:i/>
        </w:rPr>
        <w:t xml:space="preserve">expenditure. </w:t>
      </w:r>
      <w:r w:rsidRPr="004D740E">
        <w:rPr>
          <w:rFonts w:ascii="Times New Roman" w:hAnsi="Times New Roman"/>
        </w:rPr>
        <w:t>Pensions, health, education, income security, family policy and everything else welfare states do involve spending a lot of money. That is why social expenditure as a percentage of gross national income (GNI) for the OECD countries in 2015 was 21.2%, with EU member states mostly clustered between 25% and 30% of GNI spent on social welfare, accordingly to the OECD’s SOCX database.</w:t>
      </w:r>
    </w:p>
    <w:p w:rsidR="00F97AA5" w:rsidRPr="004D740E" w:rsidRDefault="00F97AA5" w:rsidP="00F97AA5">
      <w:pPr>
        <w:ind w:firstLine="720"/>
        <w:rPr>
          <w:rFonts w:ascii="Times New Roman" w:hAnsi="Times New Roman"/>
        </w:rPr>
      </w:pPr>
      <w:r w:rsidRPr="004D740E">
        <w:rPr>
          <w:rFonts w:ascii="Times New Roman" w:hAnsi="Times New Roman"/>
        </w:rPr>
        <w:t xml:space="preserve">Contrast the EU. The EU budget has for some years been capped at 1% of the gross national income (GNI) of the EU. In 2018 </w:t>
      </w:r>
      <w:r w:rsidRPr="004D740E">
        <w:rPr>
          <w:rFonts w:ascii="Times New Roman" w:hAnsi="Times New Roman"/>
          <w:i/>
        </w:rPr>
        <w:t>Politico</w:t>
      </w:r>
      <w:r w:rsidRPr="004D740E">
        <w:rPr>
          <w:rFonts w:ascii="Times New Roman" w:hAnsi="Times New Roman"/>
        </w:rPr>
        <w:t xml:space="preserve"> wrote of the Commission’s budget proposal that it “smashes through the previous budget cap of 1 percent” </w:t>
      </w:r>
      <w:r>
        <w:fldChar w:fldCharType="begin"/>
      </w:r>
      <w:r>
        <w:instrText>ADDIN BEC{Herszenhorn and Bayer, 2018, #95485}</w:instrText>
      </w:r>
      <w:r>
        <w:fldChar w:fldCharType="separate"/>
      </w:r>
      <w:r>
        <w:t>(Herszenhorn and Bayer, 2018)</w:t>
      </w:r>
      <w:r>
        <w:fldChar w:fldCharType="end"/>
      </w:r>
      <w:r w:rsidRPr="004D740E">
        <w:rPr>
          <w:rFonts w:ascii="Times New Roman" w:hAnsi="Times New Roman"/>
        </w:rPr>
        <w:t xml:space="preserve">.  The proposed new percentage of GNI that called for such comic-book language was… 1.114% of GNI. 0.114% of the EU GNI is a large absolute number, but phrased in the more useful language of percentages, it is a tiny fraction of social policy expenditure in any member state. It goes without saying that the 1% cap was a signal demand of the UK in previous negotiations, but also that other member states were willing to support or accept it with the option of blaming the UK for any perceived inadequate expenditures. </w:t>
      </w:r>
    </w:p>
    <w:p w:rsidR="00F97AA5" w:rsidRPr="004D740E" w:rsidRDefault="00F97AA5" w:rsidP="00F97AA5">
      <w:pPr>
        <w:ind w:firstLine="720"/>
        <w:rPr>
          <w:rFonts w:ascii="Times New Roman" w:hAnsi="Times New Roman"/>
        </w:rPr>
      </w:pPr>
      <w:r w:rsidRPr="004D740E">
        <w:rPr>
          <w:rFonts w:ascii="Times New Roman" w:hAnsi="Times New Roman"/>
        </w:rPr>
        <w:t xml:space="preserve">Third, when the EU moves beyond regulation in social policy, it acts through subsidies such as structural and cohesion funds (its large agriculture budget is only very distantly any kind of a social policy). These funds, ostensibly to encourage convergence among member states and territories while cushioning specific shocks of market integration, are also useful as side payments for member states. They essentially go towards infrastructure, which is somewhat beside the point in a social policy sector dominated by wage bills (e.g. in health and education) and transfers (e.g. in pensions and unemployment insurance). At the time of writing, discussions of the EU multi-year financial framework (MFF) include the idea of introducing conditionality into structural funds. This would be a way to punish democratic backsliding among aid-dependent CEE countries, especially Poland and Hungary, by linking their aid to some minimal standards of democratic behavior. The scale of EU funds as a percent of GDP varies widely across the EU. It can be very large in the states of more recent accession, and is a major political resource in the hands of one of those governments. </w:t>
      </w:r>
    </w:p>
    <w:p w:rsidR="00F97AA5" w:rsidRPr="004D740E" w:rsidRDefault="00F97AA5" w:rsidP="00F97AA5">
      <w:pPr>
        <w:ind w:firstLine="720"/>
        <w:rPr>
          <w:rFonts w:ascii="Times New Roman" w:hAnsi="Times New Roman"/>
        </w:rPr>
      </w:pPr>
      <w:r w:rsidRPr="004D740E">
        <w:rPr>
          <w:rFonts w:ascii="Times New Roman" w:hAnsi="Times New Roman"/>
        </w:rPr>
        <w:t xml:space="preserve">That paints a picture of the EU until about 2010, when the Eurozone debt crisis was an opportunity for a major increase in regulatory ambition over member states combined with a strong distrust of social expenditure entrenched in policy. Since 2010 the member states of the EU have opted to increase the breadth and ambition of its role in social policy through fiscal governance mechanisms- a great expansion of the EU’s fiscal regulatory state </w:t>
      </w:r>
      <w:r>
        <w:fldChar w:fldCharType="begin"/>
      </w:r>
      <w:r>
        <w:instrText>ADDIN BEC{Schelkle, 2009, #3189}</w:instrText>
      </w:r>
      <w:r>
        <w:fldChar w:fldCharType="separate"/>
      </w:r>
      <w:r>
        <w:t>(Schelkle, 2009)</w:t>
      </w:r>
      <w:r>
        <w:fldChar w:fldCharType="end"/>
      </w:r>
      <w:r w:rsidRPr="004D740E">
        <w:rPr>
          <w:rFonts w:ascii="Times New Roman" w:hAnsi="Times New Roman"/>
        </w:rPr>
        <w:t xml:space="preserve"> </w:t>
      </w:r>
      <w:r>
        <w:fldChar w:fldCharType="begin"/>
      </w:r>
      <w:r>
        <w:instrText>ADDIN BEC{Greer and Jarman, 2016, #11033}</w:instrText>
      </w:r>
      <w:r>
        <w:fldChar w:fldCharType="separate"/>
      </w:r>
      <w:r>
        <w:t>(Greer and Jarman, 2016b)</w:t>
      </w:r>
      <w:r>
        <w:fldChar w:fldCharType="end"/>
      </w:r>
      <w:r w:rsidRPr="004D740E">
        <w:rPr>
          <w:rFonts w:ascii="Times New Roman" w:hAnsi="Times New Roman"/>
        </w:rPr>
        <w:t xml:space="preserve">. The Eurozone crisis, and the response of a coalition of center-right governments aligned with Germany, led to a renewed focus on avoiding “moral hazard” in the currency union by pairing limited bailouts of debtor countries with a strengthened legal framework intended to prevent profligacy and imbalances in the future (the fact that this approach was underpinned by a farrago of national stereotypes and moral fables is not, for current purposes, relevant) </w:t>
      </w:r>
      <w:r>
        <w:fldChar w:fldCharType="begin"/>
      </w:r>
      <w:r>
        <w:instrText>ADDIN BEC{Brunnermeier et al., 2016, #99777}</w:instrText>
      </w:r>
      <w:r>
        <w:fldChar w:fldCharType="separate"/>
      </w:r>
      <w:r>
        <w:t>(Brunnermeier, James and Landau, 2016)</w:t>
      </w:r>
      <w:r>
        <w:fldChar w:fldCharType="end"/>
      </w:r>
      <w:r w:rsidRPr="004D740E">
        <w:rPr>
          <w:rFonts w:ascii="Times New Roman" w:hAnsi="Times New Roman"/>
        </w:rPr>
        <w:t xml:space="preserve"> </w:t>
      </w:r>
      <w:r>
        <w:fldChar w:fldCharType="begin"/>
      </w:r>
      <w:r>
        <w:instrText>ADDIN BEC{Dyson, 2014, #10648}</w:instrText>
      </w:r>
      <w:r>
        <w:fldChar w:fldCharType="separate"/>
      </w:r>
      <w:r>
        <w:t>(Dyson, 2014)</w:t>
      </w:r>
      <w:r>
        <w:fldChar w:fldCharType="end"/>
      </w:r>
      <w:r w:rsidRPr="004D740E">
        <w:rPr>
          <w:rFonts w:ascii="Times New Roman" w:hAnsi="Times New Roman"/>
        </w:rPr>
        <w:t xml:space="preserve">. The result was an effort to make the existing, and demonstrably ineffective, framework of the Stability and Growth Pact more effective by increasing the automaticity of its punishments and the breadth of </w:t>
      </w:r>
      <w:r w:rsidRPr="004D740E">
        <w:rPr>
          <w:rFonts w:ascii="Times New Roman" w:hAnsi="Times New Roman"/>
        </w:rPr>
        <w:lastRenderedPageBreak/>
        <w:t>its surveillance of member states, including a new Macroeconomic Imbalance Procedure whose purpose is to prevent the kinds of bubbles that afflicted Spain and Ireland before the crisis. Tellingly, the Germany current account surplus, noted in Commission reports on the MIP, is not leading to any disciplinary action against Germany. That is unsurprising for political reasons though the German surplus is arguably both the largest macroeconomic imbalance in today’s Eurozone, and would be the most pleasurable problem to solve since all it requires is greater German domestic consumption.</w:t>
      </w:r>
    </w:p>
    <w:p w:rsidR="00F97AA5" w:rsidRPr="004D740E" w:rsidRDefault="00F97AA5" w:rsidP="00F97AA5">
      <w:pPr>
        <w:ind w:firstLine="720"/>
        <w:rPr>
          <w:rFonts w:ascii="Times New Roman" w:hAnsi="Times New Roman"/>
        </w:rPr>
      </w:pPr>
      <w:r w:rsidRPr="004D740E">
        <w:rPr>
          <w:rFonts w:ascii="Times New Roman" w:hAnsi="Times New Roman"/>
        </w:rPr>
        <w:t xml:space="preserve">Fiscal governance expands the EU regulatory state into all dimensions of fiscal policy. Between the Stability and Growth Pact, the Macroeconomic Imbalance Procedure, and the Europe 2020 goals, there is a solid treaty basis for oversight of almost any member state social policy decision or expenditure, and a quick review of the European Semester documents for any member state shows that the EU is indeed conducting surveillance of, and making significant recommendations about, welfare states.  </w:t>
      </w:r>
    </w:p>
    <w:p w:rsidR="00F97AA5" w:rsidRPr="004D740E" w:rsidRDefault="00F97AA5" w:rsidP="00F97AA5">
      <w:pPr>
        <w:ind w:firstLine="720"/>
        <w:rPr>
          <w:rFonts w:ascii="Times New Roman" w:hAnsi="Times New Roman"/>
        </w:rPr>
      </w:pPr>
      <w:r w:rsidRPr="004D740E">
        <w:rPr>
          <w:rFonts w:ascii="Times New Roman" w:hAnsi="Times New Roman"/>
        </w:rPr>
        <w:t>In health care, for example, the Lisbon Treaty is very clear that “</w:t>
      </w:r>
      <w:r w:rsidRPr="004D740E">
        <w:rPr>
          <w:rFonts w:ascii="Times New Roman" w:hAnsi="Times New Roman"/>
          <w:color w:val="000000"/>
          <w:shd w:val="clear" w:color="auto" w:fill="FFFFFF"/>
        </w:rPr>
        <w:t xml:space="preserve">Union action shall respect the responsibilities of the Member States for the definition of their health policy and for the organisation and delivery of health services and medical care. The responsibilities of the Member States shall include the management of health services and medical care and the allocation of the resources assigned to them” (TFEU Art. 168.7). That language, in an article which carefully restricts EU action to coordinating and complementing member state action, might seem like a clear declaration that there will be only a small and meliorist EU health policy. But the sheer scale of health expenditure means that EU oversight of member state health systems re-enters through fiscal governance </w:t>
      </w:r>
      <w:r>
        <w:fldChar w:fldCharType="begin"/>
      </w:r>
      <w:r>
        <w:instrText>ADDIN BEC{Greer et al., 2016, #11259}</w:instrText>
      </w:r>
      <w:r>
        <w:fldChar w:fldCharType="separate"/>
      </w:r>
      <w:r>
        <w:t>(Greer, Jarman and Baeten, 2016)</w:t>
      </w:r>
      <w:r>
        <w:fldChar w:fldCharType="end"/>
      </w:r>
      <w:r w:rsidRPr="004D740E">
        <w:rPr>
          <w:rFonts w:ascii="Times New Roman" w:hAnsi="Times New Roman"/>
        </w:rPr>
        <w:t xml:space="preserve"> </w:t>
      </w:r>
      <w:r>
        <w:fldChar w:fldCharType="begin"/>
      </w:r>
      <w:r>
        <w:instrText>ADDIN BEC{Stamati and Baeten, 2015, #10285}</w:instrText>
      </w:r>
      <w:r>
        <w:fldChar w:fldCharType="separate"/>
      </w:r>
      <w:r>
        <w:t>(Stamati and Baeten, 2015)</w:t>
      </w:r>
      <w:r>
        <w:fldChar w:fldCharType="end"/>
      </w:r>
      <w:r w:rsidRPr="004D740E">
        <w:rPr>
          <w:rFonts w:ascii="Times New Roman" w:hAnsi="Times New Roman"/>
          <w:color w:val="000000"/>
          <w:shd w:val="clear" w:color="auto" w:fill="FFFFFF"/>
        </w:rPr>
        <w:t xml:space="preserve">. Thus, we have remarkable policy suggestions made in the framework of the European Semester, with perhaps the most striking being the 2015 Semester recommendation that France review its admissions criteria for health care professional education. In theory if not in any imaginable practice French noncompliance with this suggestion, grounded in the Stability and Growth Pact, could have led to punishment for France on the grounds that it was endangering the Eurozone by maintaining a </w:t>
      </w:r>
      <w:r w:rsidRPr="004D740E">
        <w:rPr>
          <w:rFonts w:ascii="Times New Roman" w:hAnsi="Times New Roman"/>
          <w:i/>
          <w:color w:val="000000"/>
          <w:shd w:val="clear" w:color="auto" w:fill="FFFFFF"/>
        </w:rPr>
        <w:t>numerus clausus</w:t>
      </w:r>
      <w:r w:rsidRPr="004D740E">
        <w:rPr>
          <w:rFonts w:ascii="Times New Roman" w:hAnsi="Times New Roman"/>
          <w:color w:val="000000"/>
          <w:shd w:val="clear" w:color="auto" w:fill="FFFFFF"/>
        </w:rPr>
        <w:t xml:space="preserve"> for medical schools ##greer and Kuhlmann##. Put aside the absurdity of the notion that French medical school admissions endanger the Eurozone, or the bad health economics (it is well known that supply-generated demand is rife in health care, so recommending the education of more doctors as a way to contain costs only reveals that the authors of the recommendation were not knowledgeable about the areas they oversee). This is the European Union regulatory state extended to every dimension of its member states’ social policies, and with the goal of austerity rather than any kind of social Europe. Optimists point to the rearguard action being fought in the member state and EU bureaucracies to reintroduce some social objectives in the European Semester </w:t>
      </w:r>
      <w:r>
        <w:fldChar w:fldCharType="begin"/>
      </w:r>
      <w:r>
        <w:instrText>ADDIN BEC{Zeitlin and Vanhercke, 2017, #11582}</w:instrText>
      </w:r>
      <w:r>
        <w:fldChar w:fldCharType="separate"/>
      </w:r>
      <w:r>
        <w:t>(Zeitlin and Vanhercke, 2017)</w:t>
      </w:r>
      <w:r>
        <w:fldChar w:fldCharType="end"/>
      </w:r>
      <w:r w:rsidRPr="004D740E">
        <w:rPr>
          <w:rFonts w:ascii="Times New Roman" w:hAnsi="Times New Roman"/>
          <w:color w:val="000000"/>
          <w:shd w:val="clear" w:color="auto" w:fill="FFFFFF"/>
        </w:rPr>
        <w:t xml:space="preserve">, but one should not confuse a bureaucratic rearguard action with a high-profile political and legal commitment backed up with tremendous intellectual, economic, and political force </w:t>
      </w:r>
      <w:r>
        <w:fldChar w:fldCharType="begin"/>
      </w:r>
      <w:r>
        <w:instrText>ADDIN BEC{Schmidt, 2016, #11387}</w:instrText>
      </w:r>
      <w:r>
        <w:fldChar w:fldCharType="separate"/>
      </w:r>
      <w:r>
        <w:t>(Schmidt, 2016)</w:t>
      </w:r>
      <w:r>
        <w:fldChar w:fldCharType="end"/>
      </w:r>
      <w:r w:rsidRPr="004D740E">
        <w:rPr>
          <w:rFonts w:ascii="Times New Roman" w:hAnsi="Times New Roman"/>
          <w:color w:val="000000"/>
          <w:shd w:val="clear" w:color="auto" w:fill="FFFFFF"/>
        </w:rPr>
        <w:t xml:space="preserve">(Greer and Brooks, 2018). </w:t>
      </w:r>
    </w:p>
    <w:p w:rsidR="00F97AA5" w:rsidRPr="004D740E" w:rsidRDefault="00F97AA5" w:rsidP="00F97AA5">
      <w:pPr>
        <w:ind w:firstLine="720"/>
        <w:rPr>
          <w:rFonts w:ascii="Times New Roman" w:hAnsi="Times New Roman"/>
        </w:rPr>
      </w:pPr>
    </w:p>
    <w:p w:rsidR="00F97AA5" w:rsidRPr="004D740E" w:rsidRDefault="00F97AA5" w:rsidP="00F97AA5">
      <w:pPr>
        <w:rPr>
          <w:rFonts w:ascii="Times New Roman" w:hAnsi="Times New Roman"/>
          <w:i/>
        </w:rPr>
      </w:pPr>
      <w:r w:rsidRPr="004D740E">
        <w:rPr>
          <w:rFonts w:ascii="Times New Roman" w:hAnsi="Times New Roman"/>
          <w:i/>
        </w:rPr>
        <w:t>European Union social policy without the United Kingdom</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The key, undeniable, arithmetical fact of Brexit is that it removes one of the EU’s three big countries. The UK can no longer be part of the coalitional calculations of other member states or in the European Parliament. This has a number of automatic further effects. Both France and Germany are thereby veto players, whereas previously it was imaginable that one big member </w:t>
      </w:r>
      <w:r w:rsidRPr="004D740E">
        <w:rPr>
          <w:rFonts w:ascii="Times New Roman" w:hAnsi="Times New Roman"/>
        </w:rPr>
        <w:lastRenderedPageBreak/>
        <w:t>state of three would be obliged to cede in a dispute. The Franco-German partnership in European integration is a stock topic, but its actual importance has been variable over time. With the departure of the UK, it is for practical purposes the necessary condition for EU legislation.</w:t>
      </w:r>
    </w:p>
    <w:p w:rsidR="00F97AA5" w:rsidRPr="004D740E" w:rsidRDefault="00F97AA5" w:rsidP="00F97AA5">
      <w:pPr>
        <w:rPr>
          <w:rFonts w:ascii="Times New Roman" w:hAnsi="Times New Roman"/>
        </w:rPr>
      </w:pPr>
      <w:r w:rsidRPr="004D740E">
        <w:rPr>
          <w:rFonts w:ascii="Times New Roman" w:hAnsi="Times New Roman"/>
        </w:rPr>
        <w:tab/>
        <w:t xml:space="preserve">Beyond the arithmetic stands a larger coalitional politics. European Union member states tend to fall into groups. In terms of social policy legislation on issues such as work, there have been broadly three blocs: that of the Northern liberal states, an arc anchored by the UK and stretching from Ireland to the Baltic states; those economies tightly tied to Germany, and the southern bloc, anchored by France, which share a larger state and historic commitment to a strong state. Countries shift, with countries as different as Romania and Italy periodically supporting the liberal coalition. But the three basic perspectives are nonetheless evident. </w:t>
      </w:r>
    </w:p>
    <w:p w:rsidR="00F97AA5" w:rsidRPr="004D740E" w:rsidRDefault="00F97AA5" w:rsidP="00F97AA5">
      <w:pPr>
        <w:rPr>
          <w:rFonts w:ascii="Times New Roman" w:hAnsi="Times New Roman"/>
        </w:rPr>
      </w:pPr>
      <w:r w:rsidRPr="004D740E">
        <w:rPr>
          <w:rFonts w:ascii="Times New Roman" w:hAnsi="Times New Roman"/>
        </w:rPr>
        <w:tab/>
        <w:t>The departure of the UK seriously undermines the northern liberal bloc- which is explicitly redefining itself and trying to strengthen its ties</w:t>
      </w:r>
      <w:r>
        <w:rPr>
          <w:rFonts w:ascii="Times New Roman" w:hAnsi="Times New Roman"/>
        </w:rPr>
        <w:t xml:space="preserve"> as a new “Hanseatic league” with its own Twitter account (@hansaintheeu)</w:t>
      </w:r>
      <w:r w:rsidRPr="0050516A">
        <w:rPr>
          <w:rFonts w:ascii="Times New Roman" w:hAnsi="Times New Roman"/>
        </w:rPr>
        <w:fldChar w:fldCharType="begin"/>
      </w:r>
      <w:r w:rsidRPr="0050516A">
        <w:rPr>
          <w:rFonts w:ascii="Times New Roman" w:hAnsi="Times New Roman"/>
        </w:rPr>
        <w:instrText>ADDIN BEC{Khan, 2018, #15645}</w:instrText>
      </w:r>
      <w:r w:rsidRPr="0050516A">
        <w:rPr>
          <w:rFonts w:ascii="Times New Roman" w:hAnsi="Times New Roman"/>
        </w:rPr>
        <w:fldChar w:fldCharType="separate"/>
      </w:r>
      <w:r w:rsidRPr="0050516A">
        <w:rPr>
          <w:rFonts w:ascii="Times New Roman" w:hAnsi="Times New Roman"/>
        </w:rPr>
        <w:t>(Khan, 2018)</w:t>
      </w:r>
      <w:r w:rsidRPr="0050516A">
        <w:rPr>
          <w:rFonts w:ascii="Times New Roman" w:hAnsi="Times New Roman"/>
        </w:rPr>
        <w:fldChar w:fldCharType="end"/>
      </w:r>
      <w:r>
        <w:rPr>
          <w:rFonts w:ascii="Times New Roman" w:hAnsi="Times New Roman"/>
        </w:rPr>
        <w:t>.</w:t>
      </w:r>
      <w:r w:rsidRPr="004D740E">
        <w:rPr>
          <w:rFonts w:ascii="Times New Roman" w:hAnsi="Times New Roman"/>
        </w:rPr>
        <w:t xml:space="preserve"> The problem for these states is that they collectively do not constitute a majority and lack a big country that can promote their views. The problem for Germany, meanwhile, is that it loses strategic flexibility. German governments could choose whether to align with France or the UK from issue to issue. Now, the UK option is unavailable. The German-French partnership imposes itself by sheer arithmetic, which gives France opportunities, the putative new Hanseatic league major strategic challenges, and Germany a newly restricted set of strategic options. </w:t>
      </w:r>
      <w:r w:rsidRPr="004D740E">
        <w:rPr>
          <w:rFonts w:ascii="Times New Roman" w:hAnsi="Times New Roman"/>
        </w:rPr>
        <w:tab/>
        <w:t xml:space="preserve"> </w:t>
      </w:r>
    </w:p>
    <w:p w:rsidR="00F97AA5" w:rsidRPr="004D740E" w:rsidRDefault="00F97AA5" w:rsidP="00F97AA5">
      <w:pPr>
        <w:rPr>
          <w:rFonts w:ascii="Times New Roman" w:hAnsi="Times New Roman"/>
        </w:rPr>
      </w:pPr>
      <w:r w:rsidRPr="004D740E">
        <w:rPr>
          <w:rFonts w:ascii="Times New Roman" w:hAnsi="Times New Roman"/>
        </w:rPr>
        <w:tab/>
        <w:t>These scenarios are not just speculative; they are visible in the politics of the Eurozone. The politics of the Eurozone are a reasonable preview of the future of the EU more generally. In the Eurozone, the size, economies, and geopolitical importance of France and Germany dwarf the other member state</w:t>
      </w:r>
      <w:r>
        <w:rPr>
          <w:rFonts w:ascii="Times New Roman" w:hAnsi="Times New Roman"/>
        </w:rPr>
        <w:t>s. The history of the Eurozone has been</w:t>
      </w:r>
      <w:r w:rsidRPr="004D740E">
        <w:rPr>
          <w:rFonts w:ascii="Times New Roman" w:hAnsi="Times New Roman"/>
        </w:rPr>
        <w:t xml:space="preserve"> a history of Franco-German dominance over the other member states, and</w:t>
      </w:r>
      <w:r>
        <w:rPr>
          <w:rFonts w:ascii="Times New Roman" w:hAnsi="Times New Roman"/>
        </w:rPr>
        <w:t>, in a test of wills,</w:t>
      </w:r>
      <w:r w:rsidRPr="004D740E">
        <w:rPr>
          <w:rFonts w:ascii="Times New Roman" w:hAnsi="Times New Roman"/>
        </w:rPr>
        <w:t xml:space="preserve"> German dominance over France </w:t>
      </w:r>
      <w:r>
        <w:fldChar w:fldCharType="begin"/>
      </w:r>
      <w:r>
        <w:instrText>ADDIN BEC{Brunnermeier et al., 2016, #99777}</w:instrText>
      </w:r>
      <w:r>
        <w:fldChar w:fldCharType="separate"/>
      </w:r>
      <w:r>
        <w:t>(Brunnermeier et al., 2016)</w:t>
      </w:r>
      <w:r>
        <w:fldChar w:fldCharType="end"/>
      </w:r>
      <w:r w:rsidRPr="004D740E">
        <w:rPr>
          <w:rFonts w:ascii="Times New Roman" w:hAnsi="Times New Roman"/>
        </w:rPr>
        <w:t xml:space="preserve">. </w:t>
      </w:r>
      <w:r>
        <w:rPr>
          <w:rFonts w:ascii="Times New Roman" w:hAnsi="Times New Roman"/>
        </w:rPr>
        <w:t>A</w:t>
      </w:r>
      <w:r w:rsidRPr="004D740E">
        <w:rPr>
          <w:rFonts w:ascii="Times New Roman" w:hAnsi="Times New Roman"/>
        </w:rPr>
        <w:t xml:space="preserve"> politics centered on France and Germany, is effectively unavoidable. </w:t>
      </w:r>
      <w:r>
        <w:rPr>
          <w:rFonts w:ascii="Times New Roman" w:hAnsi="Times New Roman"/>
        </w:rPr>
        <w:t>A Franco-German relationship in which Germany is dominant</w:t>
      </w:r>
      <w:r w:rsidRPr="004D740E">
        <w:rPr>
          <w:rFonts w:ascii="Times New Roman" w:hAnsi="Times New Roman"/>
        </w:rPr>
        <w:t xml:space="preserve"> is more contingent</w:t>
      </w:r>
      <w:r>
        <w:rPr>
          <w:rFonts w:ascii="Times New Roman" w:hAnsi="Times New Roman"/>
        </w:rPr>
        <w:t xml:space="preserve"> (and will become more so as France grows, economically and demographically, relative to Germany)</w:t>
      </w:r>
      <w:r w:rsidRPr="004D740E">
        <w:rPr>
          <w:rFonts w:ascii="Times New Roman" w:hAnsi="Times New Roman"/>
        </w:rPr>
        <w:t xml:space="preserve">. In the case of the Eurozone, for example, France was remarkably feckless under President Hollande, and it received little support from a set of southern European countries whose governments were committed to austerity and uninterested in a statist rebellion. The fact that the EU member states with organized labor markets such as Germany- which does not match the list of states who qualify as “creditors”- are the ones which have had a “good” crisis while other member states have been unable to unify adds to the heft of Germany relative to France or any imaginable alternative coalition </w:t>
      </w:r>
      <w:r>
        <w:fldChar w:fldCharType="begin"/>
      </w:r>
      <w:r>
        <w:instrText>ADDIN BEC{Hanck√©, 2013, #11092}</w:instrText>
      </w:r>
      <w:r>
        <w:fldChar w:fldCharType="separate"/>
      </w:r>
      <w:r>
        <w:t>(Hancké, 2013)</w:t>
      </w:r>
      <w:r>
        <w:fldChar w:fldCharType="end"/>
      </w:r>
      <w:r w:rsidRPr="004D740E">
        <w:rPr>
          <w:rFonts w:ascii="Times New Roman" w:hAnsi="Times New Roman"/>
        </w:rPr>
        <w:t xml:space="preserve"> </w:t>
      </w:r>
      <w:r>
        <w:fldChar w:fldCharType="begin"/>
      </w:r>
      <w:r>
        <w:instrText>ADDIN BEC{Johnston, 2016, #17571}</w:instrText>
      </w:r>
      <w:r>
        <w:fldChar w:fldCharType="separate"/>
      </w:r>
      <w:r>
        <w:t>(Johnston, 2016)</w:t>
      </w:r>
      <w:r>
        <w:fldChar w:fldCharType="end"/>
      </w:r>
      <w:r w:rsidRPr="004D740E">
        <w:rPr>
          <w:rFonts w:ascii="Times New Roman" w:hAnsi="Times New Roman"/>
        </w:rPr>
        <w:t xml:space="preserve">. The extent to which France can function within the hard-currency liberalism of the EU today remains unclear </w:t>
      </w:r>
      <w:r>
        <w:fldChar w:fldCharType="begin"/>
      </w:r>
      <w:r>
        <w:instrText>ADDIN BEC{Vail, 2018, #101092}</w:instrText>
      </w:r>
      <w:r>
        <w:fldChar w:fldCharType="separate"/>
      </w:r>
      <w:r>
        <w:t>(Vail, 2018)</w:t>
      </w:r>
      <w:r>
        <w:fldChar w:fldCharType="end"/>
      </w:r>
      <w:r>
        <w:rPr>
          <w:rFonts w:ascii="Times New Roman" w:hAnsi="Times New Roman"/>
        </w:rPr>
        <w:t>, which gives French governments incentive to constantly explore their freedom of action in Eurozone politics but at the moment also limits their power</w:t>
      </w:r>
      <w:r w:rsidRPr="004D740E">
        <w:rPr>
          <w:rFonts w:ascii="Times New Roman" w:hAnsi="Times New Roman"/>
        </w:rPr>
        <w:t>.</w:t>
      </w:r>
    </w:p>
    <w:p w:rsidR="00F97AA5" w:rsidRPr="004D740E" w:rsidRDefault="00F97AA5" w:rsidP="00F97AA5">
      <w:pPr>
        <w:ind w:firstLine="720"/>
        <w:rPr>
          <w:rFonts w:ascii="Times New Roman" w:hAnsi="Times New Roman"/>
        </w:rPr>
      </w:pPr>
      <w:r w:rsidRPr="004D740E">
        <w:rPr>
          <w:rFonts w:ascii="Times New Roman" w:hAnsi="Times New Roman"/>
        </w:rPr>
        <w:t xml:space="preserve">There are some mitigating factors at work which reduce the shock of this transition. One is the ebb of European social policy in general. The volume and ambition of legislation on social issues has dropped off considerably over recent decades as parties of the right advanced and member states increasingly came to view the EU as a vehicle for promoting macroeconomic growth and supply-side competitiveness measures. The UK’s liberalizing pressure was not the only cause of this withdrawal, which was loudly signaled by Commission Presidents Barroso and Juncker as reflecting the will of their member states. Second, the UK has been marginalizing itself in Brussels politics for some time. This self-marginalization arguably started with the Iraq war and abandonment of Labour’s ideas of joining the Euro, but it became policy under David </w:t>
      </w:r>
      <w:r w:rsidRPr="004D740E">
        <w:rPr>
          <w:rFonts w:ascii="Times New Roman" w:hAnsi="Times New Roman"/>
        </w:rPr>
        <w:lastRenderedPageBreak/>
        <w:t xml:space="preserve">Cameron, whose priority was internal Conservative party politics. This meant placating Conservative Euroskeptics at the price of maintaining networks, alliances, and intelligence across the continent, and involved seemingly symbolic actions that marginalized the UK such as dropping out of the European People’s Party. As a result, the whole EU knows more about working without the UK’s participation than is necessarily appreciated. </w:t>
      </w:r>
    </w:p>
    <w:p w:rsidR="00F97AA5" w:rsidRPr="004D740E" w:rsidRDefault="00F97AA5" w:rsidP="00F97AA5">
      <w:pPr>
        <w:ind w:firstLine="720"/>
        <w:rPr>
          <w:rFonts w:ascii="Times New Roman" w:hAnsi="Times New Roman"/>
        </w:rPr>
      </w:pPr>
      <w:r w:rsidRPr="004D740E">
        <w:rPr>
          <w:rFonts w:ascii="Times New Roman" w:hAnsi="Times New Roman"/>
        </w:rPr>
        <w:t xml:space="preserve">There are </w:t>
      </w:r>
      <w:r>
        <w:rPr>
          <w:rFonts w:ascii="Times New Roman" w:hAnsi="Times New Roman"/>
        </w:rPr>
        <w:t>also some scavea</w:t>
      </w:r>
      <w:r w:rsidRPr="004D740E">
        <w:rPr>
          <w:rFonts w:ascii="Times New Roman" w:hAnsi="Times New Roman"/>
        </w:rPr>
        <w:t xml:space="preserve">s to this analysis. Above all, it is structural. There is no reason to expect that France and Germany will agree on any particular item in any particular time frame, and there are many reasons to expect disagreements. There is no reason to expect that France will systematically choose to act as a representative of a Southern bloc, or to expect that other southern states will choose to act as a bloc. Many of them </w:t>
      </w:r>
      <w:r>
        <w:rPr>
          <w:rFonts w:ascii="Times New Roman" w:hAnsi="Times New Roman"/>
        </w:rPr>
        <w:t>have strong parties</w:t>
      </w:r>
      <w:r w:rsidRPr="004D740E">
        <w:rPr>
          <w:rFonts w:ascii="Times New Roman" w:hAnsi="Times New Roman"/>
        </w:rPr>
        <w:t xml:space="preserve"> on the right which actively seek retrenchment, and most have political incentives not to align themselves with any putative debtor bloc. The history of the Eurozone in crisis shows all of these dynamics- internal fissures in the putative “southern bloc,” and French reluctance or inability to act as a leader in opposition to Germany. What stands, however, is that without the UK, the “Hanseatic” bloc will not have the economic or political heft weight that they had when the UK was present and which sufficed to make them a strategic ally of Germany. </w:t>
      </w:r>
    </w:p>
    <w:p w:rsidR="00F97AA5" w:rsidRPr="004D740E" w:rsidRDefault="00F97AA5" w:rsidP="00F97AA5">
      <w:pPr>
        <w:ind w:firstLine="720"/>
        <w:rPr>
          <w:rFonts w:ascii="Times New Roman" w:hAnsi="Times New Roman"/>
        </w:rPr>
      </w:pPr>
    </w:p>
    <w:p w:rsidR="00F97AA5" w:rsidRPr="004D740E" w:rsidRDefault="00F97AA5" w:rsidP="00F97AA5">
      <w:pPr>
        <w:rPr>
          <w:rFonts w:ascii="Times New Roman" w:hAnsi="Times New Roman"/>
          <w:i/>
        </w:rPr>
      </w:pPr>
      <w:r w:rsidRPr="004D740E">
        <w:rPr>
          <w:rFonts w:ascii="Times New Roman" w:hAnsi="Times New Roman"/>
          <w:i/>
        </w:rPr>
        <w:t>The future of EU social policy: decisions, nondecisions, agendas and blame</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In terms of thinking about the lineaments of future policy, we can start with arithmetic and decisions. The future winset of possible EU policy is likely to be the areas where French and German interest converge with available EU policy tools, since either France or Germany could effectively veto a proposal. What can we find in that winset? The answer is necessarily unclear since it depends on German and French domestic politics, which are both in flux. But deregulation in labor law, in particular, is likely to come to a halt, and the push for services deregulation as well (there are many constituencies in Europe for services and labor deregulation, but whether they can gain the commanding heights in Berlin and Paris is less clear). </w:t>
      </w:r>
    </w:p>
    <w:p w:rsidR="00F97AA5" w:rsidRPr="004D740E" w:rsidRDefault="00F97AA5" w:rsidP="00F97AA5">
      <w:pPr>
        <w:ind w:firstLine="720"/>
        <w:rPr>
          <w:rFonts w:ascii="Times New Roman" w:hAnsi="Times New Roman"/>
        </w:rPr>
      </w:pPr>
      <w:r w:rsidRPr="004D740E">
        <w:rPr>
          <w:rFonts w:ascii="Times New Roman" w:hAnsi="Times New Roman"/>
        </w:rPr>
        <w:t xml:space="preserve">The more interesting questions arise when we recall that policymakers, politicians, and policy entrepreneurs are strategic actors embedded in complex and particular networks and information environments. Therefore, the step beyond thinking about decisions is to think about nondecisions: things that happen, or do not happen, without ever being part of a formal political process </w:t>
      </w:r>
      <w:r>
        <w:fldChar w:fldCharType="begin"/>
      </w:r>
      <w:r>
        <w:instrText>ADDIN BEC{Bachrach and Baratz, 1962, #10153}</w:instrText>
      </w:r>
      <w:r>
        <w:fldChar w:fldCharType="separate"/>
      </w:r>
      <w:r>
        <w:t>(Bachrach and Baratz, 1962)</w:t>
      </w:r>
      <w:r>
        <w:fldChar w:fldCharType="end"/>
      </w:r>
      <w:r w:rsidRPr="004D740E">
        <w:rPr>
          <w:rFonts w:ascii="Times New Roman" w:hAnsi="Times New Roman"/>
        </w:rPr>
        <w:t xml:space="preserve"> </w:t>
      </w:r>
      <w:r>
        <w:fldChar w:fldCharType="begin"/>
      </w:r>
      <w:r>
        <w:instrText>ADDIN BEC{Gaventa, 1982, #55574}</w:instrText>
      </w:r>
      <w:r>
        <w:fldChar w:fldCharType="separate"/>
      </w:r>
      <w:r>
        <w:t>(Gaventa, 1982)</w:t>
      </w:r>
      <w:r>
        <w:fldChar w:fldCharType="end"/>
      </w:r>
      <w:r w:rsidRPr="004D740E">
        <w:rPr>
          <w:rFonts w:ascii="Times New Roman" w:hAnsi="Times New Roman"/>
        </w:rPr>
        <w:t xml:space="preserve">. The presence of the UK meant that much of EU social policy was made of nondecisions in which a policy issue or alternative never appeared on the agenda because it was hopeless to propose it. The win-set for future EU social policy is not just the items on which we know France and Germany have tended to agree; it is also the items that were thought up in Paris or Berlin but never taken seriously as EU policy proposals. </w:t>
      </w:r>
    </w:p>
    <w:p w:rsidR="00F97AA5" w:rsidRPr="004D740E" w:rsidRDefault="00F97AA5" w:rsidP="00F97AA5">
      <w:pPr>
        <w:ind w:firstLine="720"/>
        <w:rPr>
          <w:rFonts w:ascii="Times New Roman" w:hAnsi="Times New Roman"/>
        </w:rPr>
      </w:pPr>
      <w:r w:rsidRPr="004D740E">
        <w:rPr>
          <w:rFonts w:ascii="Times New Roman" w:hAnsi="Times New Roman"/>
        </w:rPr>
        <w:t xml:space="preserve">Beyond decisions and nondecisions, we can ask how agendas will change. Agenda-setting dynamics might be influenced in more ways than are obvious- for example, by the change in the credibility and influence of UK-based lobbies in Brussels. One way that they will change which is worth highlighting. That is blame avoidance. Just as in fiscal governance many pro-austerity politicians and governments are happy to hide behind blame-absorbing Germany, many liberalizers have been content to let the UK take the blame for promoting liberalizing policies. That option will end soon, and liberalizing politicians will have to find not just a coalition but also a way to manage blame associated with their positions.  </w:t>
      </w:r>
    </w:p>
    <w:p w:rsidR="00F97AA5" w:rsidRPr="004D740E" w:rsidRDefault="00F97AA5" w:rsidP="00F97AA5">
      <w:pPr>
        <w:ind w:firstLine="720"/>
        <w:rPr>
          <w:rFonts w:ascii="Times New Roman" w:hAnsi="Times New Roman"/>
        </w:rPr>
      </w:pPr>
      <w:r w:rsidRPr="004D740E">
        <w:rPr>
          <w:rFonts w:ascii="Times New Roman" w:hAnsi="Times New Roman"/>
        </w:rPr>
        <w:lastRenderedPageBreak/>
        <w:t xml:space="preserve">Theoretically, this all reduces to: the EU agenda will shift to reflect things that a Franco-German EU might adopt, which will make many liberalizing policies unworkable and turn them into nondecisions while allowing those who had for practical reasons never proposed other kinds of measures to get their thinking on the agenda. The impact of Brexit on social Europe will be seen first in agendas, and might be seen </w:t>
      </w:r>
      <w:r>
        <w:rPr>
          <w:rFonts w:ascii="Times New Roman" w:hAnsi="Times New Roman"/>
        </w:rPr>
        <w:t xml:space="preserve">there </w:t>
      </w:r>
      <w:r w:rsidRPr="004D740E">
        <w:rPr>
          <w:rFonts w:ascii="Times New Roman" w:hAnsi="Times New Roman"/>
        </w:rPr>
        <w:t>very quickly</w:t>
      </w:r>
      <w:r>
        <w:rPr>
          <w:rFonts w:ascii="Times New Roman" w:hAnsi="Times New Roman"/>
        </w:rPr>
        <w:t xml:space="preserve"> (as Greer and Loblova show, it is already happening in some out of the way policy areas such as health technology assessment)</w:t>
      </w:r>
      <w:r w:rsidRPr="004D740E">
        <w:rPr>
          <w:rFonts w:ascii="Times New Roman" w:hAnsi="Times New Roman"/>
        </w:rPr>
        <w:t xml:space="preserve">. </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b/>
        </w:rPr>
        <w:t>Conclusion</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r w:rsidRPr="004D740E">
        <w:rPr>
          <w:rFonts w:ascii="Times New Roman" w:hAnsi="Times New Roman"/>
        </w:rPr>
        <w:t xml:space="preserve">Socially, Brexit is negative-sum in at least the short and medium term. It deprives the UK of a model that has worked well for it and deprives many Europeans of the UK exit option without imposing any of the changes that would have made the exit option unappealing. Redirecting intra-EU migrants into Germany or other member states is likely to be less positive-sum since it is harder to integrate into </w:t>
      </w:r>
      <w:r>
        <w:rPr>
          <w:rFonts w:ascii="Times New Roman" w:hAnsi="Times New Roman"/>
        </w:rPr>
        <w:t xml:space="preserve">their </w:t>
      </w:r>
      <w:r w:rsidRPr="004D740E">
        <w:rPr>
          <w:rFonts w:ascii="Times New Roman" w:hAnsi="Times New Roman"/>
        </w:rPr>
        <w:t>labor markets. And nothing about Brexit, or the loss of the exit option of the UK, necessarily will make labor markets and economies elsewhere function differently. Maybe CEE citizens will return home and, deprived of the exit option, use their voice and have their societies respond. But maybe they will often stay in the UK, with a slow outflow home and to other EU member states, so that an exit option remains.</w:t>
      </w:r>
      <w:r w:rsidRPr="004D740E">
        <w:rPr>
          <w:rFonts w:ascii="Times New Roman" w:hAnsi="Times New Roman"/>
        </w:rPr>
        <w:tab/>
      </w:r>
    </w:p>
    <w:p w:rsidR="00F97AA5" w:rsidRPr="004D740E" w:rsidRDefault="00F97AA5" w:rsidP="00F97AA5">
      <w:pPr>
        <w:ind w:firstLine="720"/>
        <w:rPr>
          <w:rFonts w:ascii="Times New Roman" w:hAnsi="Times New Roman"/>
        </w:rPr>
      </w:pPr>
      <w:r w:rsidRPr="004D740E">
        <w:rPr>
          <w:rFonts w:ascii="Times New Roman" w:hAnsi="Times New Roman"/>
        </w:rPr>
        <w:t>Politically, the arithmetic of votes in the EU, and the impact of soft power and advocacy by big countries, within the grid of EU policy options all point towards a new EU social policy built on shared German and French preferences- which is likeliest to mean the end of deregulator</w:t>
      </w:r>
      <w:r>
        <w:rPr>
          <w:rFonts w:ascii="Times New Roman" w:hAnsi="Times New Roman"/>
        </w:rPr>
        <w:t>y</w:t>
      </w:r>
      <w:r w:rsidRPr="004D740E">
        <w:rPr>
          <w:rFonts w:ascii="Times New Roman" w:hAnsi="Times New Roman"/>
        </w:rPr>
        <w:t xml:space="preserve"> measures across the public services and in labor and services law (and possibly other areas outside social policy). The UK was a key part of a liberalizing coalition across almost all sectors. Without the UK, it is difficult to see how the “Hanseatic” states can reliably team up with other states even when they are run by liberals- the Italian liberalism of Bocconi, CEE strategies that others will often perceive as “disloyal competition,” Irish low-tax strategies focused on attracting MNCs and Nordic efforts to maintain their social models produce few obvious shared policy agendas. </w:t>
      </w:r>
    </w:p>
    <w:p w:rsidR="00F97AA5" w:rsidRPr="004D740E" w:rsidRDefault="00F97AA5" w:rsidP="00F97AA5">
      <w:pPr>
        <w:ind w:firstLine="720"/>
        <w:rPr>
          <w:rFonts w:ascii="Times New Roman" w:hAnsi="Times New Roman"/>
        </w:rPr>
      </w:pPr>
      <w:r w:rsidRPr="004D740E">
        <w:rPr>
          <w:rFonts w:ascii="Times New Roman" w:hAnsi="Times New Roman"/>
        </w:rPr>
        <w:t xml:space="preserve">In short, the future of social Europe in a post-Brexit EU is strong but will likely be distinctively new. The UK was a key part of a liberalizing coalition in all sectors; it was a huge beneficiary of free movement, probably with positive-sum effects for the EU but a brain drain in lots of EU member states; it was an intellectual pillar of a concept of deregulated labor market and a minimalist welfare state; and it is now gone. The result is that a free-market northern coalition is no longer enough to drive EU politics. The Germans are going to have to come to terms with the French, and that is going to shift EU economies towards thinking about social welfare in connection with labor market status. Given that the price of liberalization in France has been an expanded welfare state </w:t>
      </w:r>
      <w:r>
        <w:fldChar w:fldCharType="begin"/>
      </w:r>
      <w:r>
        <w:instrText>ADDIN BEC{Vail, #42683}</w:instrText>
      </w:r>
      <w:r>
        <w:fldChar w:fldCharType="separate"/>
      </w:r>
      <w:r>
        <w:t>(Vail, 2011)</w:t>
      </w:r>
      <w:r>
        <w:fldChar w:fldCharType="end"/>
      </w:r>
      <w:r w:rsidRPr="004D740E">
        <w:rPr>
          <w:rFonts w:ascii="Times New Roman" w:hAnsi="Times New Roman"/>
        </w:rPr>
        <w:t xml:space="preserve">, it is almost certain that efforts to liberalize the welfare state through competition law, services regulation and such will cease to be plausible. The era of grinding defensive battles against proposals for liberalization of welfare provision might come to an end in a newly Franco-German EU. Whether the newer, and equally grinding, wars over austerity change form or even continue is less clear. It has been so long since Paris was a veto player in Europe that we all might be surprised by how it develops. </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b/>
        </w:rPr>
      </w:pPr>
      <w:r w:rsidRPr="004D740E">
        <w:rPr>
          <w:rFonts w:ascii="Times New Roman" w:hAnsi="Times New Roman"/>
          <w:b/>
        </w:rPr>
        <w:t>Bibliography</w:t>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F97AA5" w:rsidRDefault="00F97AA5" w:rsidP="00F97AA5">
      <w:pPr>
        <w:autoSpaceDE w:val="0"/>
        <w:autoSpaceDN w:val="0"/>
        <w:adjustRightInd w:val="0"/>
        <w:ind w:left="540" w:hanging="540"/>
        <w:rPr>
          <w:rFonts w:ascii="Arial" w:hAnsi="Arial"/>
        </w:rPr>
      </w:pPr>
      <w:r>
        <w:lastRenderedPageBreak/>
        <w:fldChar w:fldCharType="begin"/>
      </w:r>
      <w:r>
        <w:instrText>ADDIN BB</w:instrText>
      </w:r>
      <w:r>
        <w:fldChar w:fldCharType="separate"/>
      </w:r>
      <w:r>
        <w:rPr>
          <w:rFonts w:ascii="Times New Roman" w:hAnsi="Times New Roman"/>
        </w:rPr>
        <w:t xml:space="preserve">Alter, Karen J. 2001. </w:t>
      </w:r>
      <w:r>
        <w:rPr>
          <w:rFonts w:ascii="Times New Roman" w:hAnsi="Times New Roman"/>
          <w:i/>
        </w:rPr>
        <w:t>Establishing the Supremacy of European Law</w:t>
      </w:r>
      <w:r>
        <w:rPr>
          <w:rFonts w:ascii="Times New Roman" w:hAnsi="Times New Roman"/>
        </w:rPr>
        <w:t>. Oxford: Oxford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Bachrach, Peter, and Morton S Baratz. 1962. “The Two Faces of Power”. </w:t>
      </w:r>
      <w:r>
        <w:rPr>
          <w:rFonts w:ascii="Times New Roman" w:hAnsi="Times New Roman"/>
          <w:i/>
        </w:rPr>
        <w:t>American Political Science Review</w:t>
      </w:r>
      <w:r>
        <w:rPr>
          <w:rFonts w:ascii="Times New Roman" w:hAnsi="Times New Roman"/>
        </w:rPr>
        <w:t xml:space="preserve"> 56:947-52.</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Brunnermeier, M.K., H. James, and J.P. Landau. 2016. </w:t>
      </w:r>
      <w:r>
        <w:rPr>
          <w:rFonts w:ascii="Times New Roman" w:hAnsi="Times New Roman"/>
          <w:i/>
        </w:rPr>
        <w:t>The Euro and the Battle of Ideas</w:t>
      </w:r>
      <w:r>
        <w:rPr>
          <w:rFonts w:ascii="Times New Roman" w:hAnsi="Times New Roman"/>
        </w:rPr>
        <w:t>. Princeton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Caporaso, James A, and Sidney Tarrow. 2009. “Polanyi in Brussels: Supranational Institutions and the Transnational Embedding of Markets”. </w:t>
      </w:r>
      <w:r>
        <w:rPr>
          <w:rFonts w:ascii="Times New Roman" w:hAnsi="Times New Roman"/>
          <w:i/>
        </w:rPr>
        <w:t>International Organization</w:t>
      </w:r>
      <w:r>
        <w:rPr>
          <w:rFonts w:ascii="Times New Roman" w:hAnsi="Times New Roman"/>
        </w:rPr>
        <w:t xml:space="preserve"> 63:593-620.</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Coase, Ronald H. 1937. “The Nature of the Firm”. </w:t>
      </w:r>
      <w:r>
        <w:rPr>
          <w:rFonts w:ascii="Times New Roman" w:hAnsi="Times New Roman"/>
          <w:i/>
        </w:rPr>
        <w:t>Economica</w:t>
      </w:r>
      <w:r>
        <w:rPr>
          <w:rFonts w:ascii="Times New Roman" w:hAnsi="Times New Roman"/>
        </w:rPr>
        <w:t xml:space="preserve"> 4:386-405.</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Dehousse, Renaud. 1994. “Comparing National and Ec Law: The Problem of the Level of Analysis”. </w:t>
      </w:r>
      <w:r>
        <w:rPr>
          <w:rFonts w:ascii="Times New Roman" w:hAnsi="Times New Roman"/>
          <w:i/>
        </w:rPr>
        <w:t>The American Journal of Comparative Law</w:t>
      </w:r>
      <w:r>
        <w:rPr>
          <w:rFonts w:ascii="Times New Roman" w:hAnsi="Times New Roman"/>
        </w:rPr>
        <w:t xml:space="preserve"> 42:761-81.</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Dyson, Kenneth H. F. 2014. </w:t>
      </w:r>
      <w:r>
        <w:rPr>
          <w:rFonts w:ascii="Times New Roman" w:hAnsi="Times New Roman"/>
          <w:i/>
        </w:rPr>
        <w:t>States, Debt, and Power: ‘Saints’ and ‘Sinners’ in European History and Integration</w:t>
      </w:r>
      <w:r>
        <w:rPr>
          <w:rFonts w:ascii="Times New Roman" w:hAnsi="Times New Roman"/>
        </w:rPr>
        <w:t>. Oxford, U.K.; New York: Oxford Univesity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Favell, A. 2014. </w:t>
      </w:r>
      <w:r>
        <w:rPr>
          <w:rFonts w:ascii="Times New Roman" w:hAnsi="Times New Roman"/>
          <w:i/>
        </w:rPr>
        <w:t>Immigration, Integration and Mobility: New Agendas in Migration Studies : Essays 1998-2014</w:t>
      </w:r>
      <w:r>
        <w:rPr>
          <w:rFonts w:ascii="Times New Roman" w:hAnsi="Times New Roman"/>
        </w:rPr>
        <w:t>. ECPR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Favell, Adrian, and Roxana Barbulescu. 2018. “Brexit, ‘Immigration’ and Anti-Discrimination.” In </w:t>
      </w:r>
      <w:r>
        <w:rPr>
          <w:rFonts w:ascii="Times New Roman" w:hAnsi="Times New Roman"/>
          <w:i/>
        </w:rPr>
        <w:t>Routledge Handbook of the Politics of Brexit</w:t>
      </w:r>
      <w:r>
        <w:rPr>
          <w:rFonts w:ascii="Times New Roman" w:hAnsi="Times New Roman"/>
        </w:rPr>
        <w:t>, ed. Patrick Diamond, Peter Nedergaard, and Ben Rosamond. Abingdon: Routledge.</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Gaventa, J. 1982. </w:t>
      </w:r>
      <w:r>
        <w:rPr>
          <w:rFonts w:ascii="Times New Roman" w:hAnsi="Times New Roman"/>
          <w:i/>
        </w:rPr>
        <w:t>Power and Powerlessness: Quiescence and Rebellion in an Appalachian Valley</w:t>
      </w:r>
      <w:r>
        <w:rPr>
          <w:rFonts w:ascii="Times New Roman" w:hAnsi="Times New Roman"/>
        </w:rPr>
        <w:t>. Urbana: University of Illinois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Glinos, Irene. 2012. “Worrying About the Wrong Thing: Patient Mobility Versus Mobility of Health Care Professionals.”. </w:t>
      </w:r>
      <w:r>
        <w:rPr>
          <w:rFonts w:ascii="Times New Roman" w:hAnsi="Times New Roman"/>
          <w:i/>
        </w:rPr>
        <w:t>J Health Serv Res Policy</w:t>
      </w:r>
      <w:r>
        <w:rPr>
          <w:rFonts w:ascii="Times New Roman" w:hAnsi="Times New Roman"/>
        </w:rPr>
        <w:t xml:space="preserve"> 17:254-6.</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Greer, Scott L, and Holly Jarman. 2016a. “European Citizenship Rights and European Fiscal Politics After the Crisis”. </w:t>
      </w:r>
      <w:r>
        <w:rPr>
          <w:rFonts w:ascii="Times New Roman" w:hAnsi="Times New Roman"/>
          <w:i/>
        </w:rPr>
        <w:t>Government and Opposition</w:t>
      </w:r>
      <w:r>
        <w:rPr>
          <w:rFonts w:ascii="Times New Roman" w:hAnsi="Times New Roman"/>
        </w:rPr>
        <w:t xml:space="preserve"> 1-28.</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Greer, Scott L, and Holly Jarman. 2016b. “Reinforcing Europe’s Failed Fiscal Regulatory State.” In </w:t>
      </w:r>
      <w:r>
        <w:rPr>
          <w:rFonts w:ascii="Times New Roman" w:hAnsi="Times New Roman"/>
          <w:i/>
        </w:rPr>
        <w:t>A Global Perspective on the European Economic Crisis</w:t>
      </w:r>
      <w:r>
        <w:rPr>
          <w:rFonts w:ascii="Times New Roman" w:hAnsi="Times New Roman"/>
        </w:rPr>
        <w:t>, ed. Bruno Dallago, Gert Guri, and John McGowan. Abingdon: Routledge.</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Greer, Scott L, and Tomislav Sokol. 2012. “Rules for Rights: European Law, Health Care, and Social Citizenship”. </w:t>
      </w:r>
      <w:r>
        <w:rPr>
          <w:rFonts w:ascii="Times New Roman" w:hAnsi="Times New Roman"/>
          <w:i/>
        </w:rPr>
        <w:t>European Law Journal</w:t>
      </w:r>
      <w:r>
        <w:rPr>
          <w:rFonts w:ascii="Times New Roman" w:hAnsi="Times New Roman"/>
        </w:rPr>
        <w:t xml:space="preserve"> </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Greer, Scott L., Holly Jarman, and Rita Baeten. 2016. “The New Political Economy of Health Care in the European Union: The Impact of Fiscal Governance”. </w:t>
      </w:r>
      <w:r>
        <w:rPr>
          <w:rFonts w:ascii="Times New Roman" w:hAnsi="Times New Roman"/>
          <w:i/>
        </w:rPr>
        <w:t>International Journal of Health Services</w:t>
      </w:r>
      <w:r>
        <w:rPr>
          <w:rFonts w:ascii="Times New Roman" w:hAnsi="Times New Roman"/>
        </w:rPr>
        <w:t xml:space="preserve"> 46:262-82.</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Hancké, B. 2013. </w:t>
      </w:r>
      <w:r>
        <w:rPr>
          <w:rFonts w:ascii="Times New Roman" w:hAnsi="Times New Roman"/>
          <w:i/>
        </w:rPr>
        <w:t>Unions, Central Banks, and Emu: Labour Market Institutions and Monetary Integration in Europe</w:t>
      </w:r>
      <w:r>
        <w:rPr>
          <w:rFonts w:ascii="Times New Roman" w:hAnsi="Times New Roman"/>
        </w:rPr>
        <w:t>. Oxford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Herszenhorn, David M., and Lili Bayer. 2018. “Commission Wants Bigger Budget for Smaller Eu”. </w:t>
      </w:r>
      <w:r>
        <w:rPr>
          <w:rFonts w:ascii="Times New Roman" w:hAnsi="Times New Roman"/>
          <w:i/>
        </w:rPr>
        <w:t>Politico</w:t>
      </w:r>
      <w:r>
        <w:rPr>
          <w:rFonts w:ascii="Times New Roman" w:hAnsi="Times New Roman"/>
        </w:rPr>
        <w:t xml:space="preserve"> </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Hervey, Tamara K., Calum Alasdair Young, and Louise E. Bishop, eds. 2017. </w:t>
      </w:r>
      <w:r>
        <w:rPr>
          <w:rFonts w:ascii="Times New Roman" w:hAnsi="Times New Roman"/>
          <w:i/>
        </w:rPr>
        <w:t>Research Handbook on Eu Health Law and Policy</w:t>
      </w:r>
      <w:r>
        <w:rPr>
          <w:rFonts w:ascii="Times New Roman" w:hAnsi="Times New Roman"/>
        </w:rPr>
        <w:t xml:space="preserve"> Cheltenham: Edward Elgar.</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Höpner, Martin, and Armin Schäfer. 2010. “Polanyi in Brussels? Embeddedness and the Three Dimensions of European Economic Integration”. </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Johnston, Alison. 2016. </w:t>
      </w:r>
      <w:r>
        <w:rPr>
          <w:rFonts w:ascii="Times New Roman" w:hAnsi="Times New Roman"/>
          <w:i/>
        </w:rPr>
        <w:t>From Convergence to Crisis: Labor Markets and the Instability of the Euro</w:t>
      </w:r>
      <w:r>
        <w:rPr>
          <w:rFonts w:ascii="Times New Roman" w:hAnsi="Times New Roman"/>
        </w:rPr>
        <w:t>. Cornell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Kelemen, R Daniel. 2011. </w:t>
      </w:r>
      <w:r>
        <w:rPr>
          <w:rFonts w:ascii="Times New Roman" w:hAnsi="Times New Roman"/>
          <w:i/>
        </w:rPr>
        <w:t>Eurolegalism: The Transformation of Law and Regulation in the European Union</w:t>
      </w:r>
      <w:r>
        <w:rPr>
          <w:rFonts w:ascii="Times New Roman" w:hAnsi="Times New Roman"/>
        </w:rPr>
        <w:t>. Cambridge, MA: Harvard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Khan, Mehreen. 2018. “Eu’s New Hanseatic League Picks Its Next Battle (19 July)”. </w:t>
      </w:r>
      <w:r>
        <w:rPr>
          <w:rFonts w:ascii="Times New Roman" w:hAnsi="Times New Roman"/>
          <w:i/>
        </w:rPr>
        <w:t>Financial Times</w:t>
      </w:r>
      <w:r>
        <w:rPr>
          <w:rFonts w:ascii="Times New Roman" w:hAnsi="Times New Roman"/>
        </w:rPr>
        <w:t xml:space="preserve"> </w:t>
      </w:r>
    </w:p>
    <w:p w:rsidR="00F97AA5" w:rsidRDefault="00F97AA5" w:rsidP="00F97AA5">
      <w:pPr>
        <w:autoSpaceDE w:val="0"/>
        <w:autoSpaceDN w:val="0"/>
        <w:adjustRightInd w:val="0"/>
        <w:ind w:left="540" w:hanging="540"/>
        <w:rPr>
          <w:rFonts w:ascii="Arial" w:hAnsi="Arial"/>
        </w:rPr>
      </w:pPr>
      <w:r>
        <w:rPr>
          <w:rFonts w:ascii="Times New Roman" w:hAnsi="Times New Roman"/>
        </w:rPr>
        <w:lastRenderedPageBreak/>
        <w:t xml:space="preserve">Majone, Giandomenico. 1996. </w:t>
      </w:r>
      <w:r>
        <w:rPr>
          <w:rFonts w:ascii="Times New Roman" w:hAnsi="Times New Roman"/>
          <w:i/>
        </w:rPr>
        <w:t>Regulating Europe</w:t>
      </w:r>
      <w:r>
        <w:rPr>
          <w:rFonts w:ascii="Times New Roman" w:hAnsi="Times New Roman"/>
        </w:rPr>
        <w:t>. London: Routledge.</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Page, Edward C. 2001. “The European Union and the Bureaucratic Mode of Production.” In </w:t>
      </w:r>
      <w:r>
        <w:rPr>
          <w:rFonts w:ascii="Times New Roman" w:hAnsi="Times New Roman"/>
          <w:i/>
        </w:rPr>
        <w:t>From the Nation State to Europe: Essays in Honour of Jack Hayward</w:t>
      </w:r>
      <w:r>
        <w:rPr>
          <w:rFonts w:ascii="Times New Roman" w:hAnsi="Times New Roman"/>
        </w:rPr>
        <w:t>, ed. Anand Menon. Oxford: Oxford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Scharpf, Fritz W. 2010. “The Asymmetry of European Integration, or Why the Eu Cannot be a ‘Social Market Economy’”. </w:t>
      </w:r>
      <w:r>
        <w:rPr>
          <w:rFonts w:ascii="Times New Roman" w:hAnsi="Times New Roman"/>
          <w:i/>
        </w:rPr>
        <w:t>Socio-Economic Review</w:t>
      </w:r>
      <w:r>
        <w:rPr>
          <w:rFonts w:ascii="Times New Roman" w:hAnsi="Times New Roman"/>
        </w:rPr>
        <w:t xml:space="preserve"> 8:211-50.</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Schelkle, Waltraud. 2009. “The Contentious Creation of the Regulatory State in Fiscal Surveillance”. </w:t>
      </w:r>
      <w:r>
        <w:rPr>
          <w:rFonts w:ascii="Times New Roman" w:hAnsi="Times New Roman"/>
          <w:i/>
        </w:rPr>
        <w:t>West European politics</w:t>
      </w:r>
      <w:r>
        <w:rPr>
          <w:rFonts w:ascii="Times New Roman" w:hAnsi="Times New Roman"/>
        </w:rPr>
        <w:t xml:space="preserve"> 32:829-46.</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Schmidt, Vivien A. 2016. “Reinterpreting the Rules “By Stealth” in Times of Crisis: A Discursive Institutionalist Analysis of the European Central Bank and the European Commission”. </w:t>
      </w:r>
      <w:r>
        <w:rPr>
          <w:rFonts w:ascii="Times New Roman" w:hAnsi="Times New Roman"/>
          <w:i/>
        </w:rPr>
        <w:t>West European politics</w:t>
      </w:r>
      <w:r>
        <w:rPr>
          <w:rFonts w:ascii="Times New Roman" w:hAnsi="Times New Roman"/>
        </w:rPr>
        <w:t xml:space="preserve"> 39:1032-52.</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Stamati, Furio, and Rita Baeten. 2015. </w:t>
      </w:r>
      <w:r>
        <w:rPr>
          <w:rFonts w:ascii="Times New Roman" w:hAnsi="Times New Roman"/>
          <w:i/>
        </w:rPr>
        <w:t>Healthcare Reforms and the Crisis</w:t>
      </w:r>
      <w:r>
        <w:rPr>
          <w:rFonts w:ascii="Times New Roman" w:hAnsi="Times New Roman"/>
        </w:rPr>
        <w:t>. Brussels: European Trade Union Institute.</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Stone Sweet, Alec. 2004. </w:t>
      </w:r>
      <w:r>
        <w:rPr>
          <w:rFonts w:ascii="Times New Roman" w:hAnsi="Times New Roman"/>
          <w:i/>
        </w:rPr>
        <w:t>The Judicial Construction of Europe</w:t>
      </w:r>
      <w:r>
        <w:rPr>
          <w:rFonts w:ascii="Times New Roman" w:hAnsi="Times New Roman"/>
        </w:rPr>
        <w:t>. Oxford: Oxford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Streeck, Wolfgang. 1996. “Neo-Voluntarism: A New European Social Policy Regime?” In </w:t>
      </w:r>
      <w:r>
        <w:rPr>
          <w:rFonts w:ascii="Times New Roman" w:hAnsi="Times New Roman"/>
          <w:i/>
        </w:rPr>
        <w:t>Governance in the European Union</w:t>
      </w:r>
      <w:r>
        <w:rPr>
          <w:rFonts w:ascii="Times New Roman" w:hAnsi="Times New Roman"/>
        </w:rPr>
        <w:t>, ed. Gary Marks, Fritz Scharpf, Philippe C Schmitter, and Wolfgang Streeck. London: Sage.</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Vail, M. 2011. </w:t>
      </w:r>
      <w:r>
        <w:rPr>
          <w:rFonts w:ascii="Times New Roman" w:hAnsi="Times New Roman"/>
          <w:i/>
        </w:rPr>
        <w:t>Recasting Welfare Capitalism: Economic Adjustment in Contemporary France and Germany</w:t>
      </w:r>
      <w:r>
        <w:rPr>
          <w:rFonts w:ascii="Times New Roman" w:hAnsi="Times New Roman"/>
        </w:rPr>
        <w:t>. Temple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Vail, M.I. 2018. </w:t>
      </w:r>
      <w:r>
        <w:rPr>
          <w:rFonts w:ascii="Times New Roman" w:hAnsi="Times New Roman"/>
          <w:i/>
        </w:rPr>
        <w:t>Liberalism in Illiberal States: Ideas and Economic Adjustment in Contemporary Europe</w:t>
      </w:r>
      <w:r>
        <w:rPr>
          <w:rFonts w:ascii="Times New Roman" w:hAnsi="Times New Roman"/>
        </w:rPr>
        <w:t>. Oxford University Press.</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Vauchez, Antoine. 2013. </w:t>
      </w:r>
      <w:r>
        <w:rPr>
          <w:rFonts w:ascii="Times New Roman" w:hAnsi="Times New Roman"/>
          <w:i/>
        </w:rPr>
        <w:t>L’Union Par Le Droit: L’Invention D’Un Programme Institutionnel Pour L’Europe</w:t>
      </w:r>
      <w:r>
        <w:rPr>
          <w:rFonts w:ascii="Times New Roman" w:hAnsi="Times New Roman"/>
        </w:rPr>
        <w:t>. Presses de Sciences Po.</w:t>
      </w:r>
    </w:p>
    <w:p w:rsidR="00F97AA5" w:rsidRDefault="00F97AA5" w:rsidP="00F97AA5">
      <w:pPr>
        <w:autoSpaceDE w:val="0"/>
        <w:autoSpaceDN w:val="0"/>
        <w:adjustRightInd w:val="0"/>
        <w:ind w:left="540" w:hanging="540"/>
        <w:rPr>
          <w:rFonts w:ascii="Arial" w:hAnsi="Arial"/>
        </w:rPr>
      </w:pPr>
      <w:r>
        <w:rPr>
          <w:rFonts w:ascii="Times New Roman" w:hAnsi="Times New Roman"/>
        </w:rPr>
        <w:t xml:space="preserve">Zeitlin, Jonathan, and Bart Vanhercke. 2017. “Socializing the European Semester: Eu Social and Economic Policy Co-Ordination in Crisis and Beyond”. </w:t>
      </w:r>
      <w:r>
        <w:rPr>
          <w:rFonts w:ascii="Times New Roman" w:hAnsi="Times New Roman"/>
          <w:i/>
        </w:rPr>
        <w:t>Journal of European Public Policy</w:t>
      </w:r>
      <w:r>
        <w:rPr>
          <w:rFonts w:ascii="Times New Roman" w:hAnsi="Times New Roman"/>
        </w:rPr>
        <w:t xml:space="preserve"> 1-26.</w:t>
      </w:r>
    </w:p>
    <w:p w:rsidR="00F97AA5" w:rsidRPr="004D740E" w:rsidRDefault="00F97AA5" w:rsidP="00F97AA5">
      <w:pPr>
        <w:rPr>
          <w:rFonts w:ascii="Times New Roman" w:hAnsi="Times New Roman"/>
        </w:rPr>
      </w:pPr>
      <w:r>
        <w:fldChar w:fldCharType="end"/>
      </w: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F97AA5" w:rsidRPr="004D740E" w:rsidRDefault="00F97AA5" w:rsidP="00F97AA5">
      <w:pPr>
        <w:rPr>
          <w:rFonts w:ascii="Times New Roman" w:hAnsi="Times New Roman"/>
        </w:rPr>
      </w:pPr>
    </w:p>
    <w:p w:rsidR="0049387A" w:rsidRPr="00F97AA5" w:rsidRDefault="0049387A" w:rsidP="00F97AA5">
      <w:bookmarkStart w:id="0" w:name="_GoBack"/>
      <w:bookmarkEnd w:id="0"/>
    </w:p>
    <w:sectPr w:rsidR="0049387A" w:rsidRPr="00F97AA5" w:rsidSect="00EB2728">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3DB0" w:rsidRDefault="00CE3DB0" w:rsidP="000A31AB">
      <w:r>
        <w:separator/>
      </w:r>
    </w:p>
  </w:endnote>
  <w:endnote w:type="continuationSeparator" w:id="0">
    <w:p w:rsidR="00CE3DB0" w:rsidRDefault="00CE3DB0" w:rsidP="000A31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590226958"/>
      <w:docPartObj>
        <w:docPartGallery w:val="Page Numbers (Bottom of Page)"/>
        <w:docPartUnique/>
      </w:docPartObj>
    </w:sdtPr>
    <w:sdtEndPr>
      <w:rPr>
        <w:rStyle w:val="PageNumber"/>
      </w:rPr>
    </w:sdtEndPr>
    <w:sdtContent>
      <w:p w:rsidR="000A31AB" w:rsidRDefault="000A31AB" w:rsidP="006804F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0A31AB" w:rsidRDefault="000A31AB" w:rsidP="000A31A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43528759"/>
      <w:docPartObj>
        <w:docPartGallery w:val="Page Numbers (Bottom of Page)"/>
        <w:docPartUnique/>
      </w:docPartObj>
    </w:sdtPr>
    <w:sdtEndPr>
      <w:rPr>
        <w:rStyle w:val="PageNumber"/>
      </w:rPr>
    </w:sdtEndPr>
    <w:sdtContent>
      <w:p w:rsidR="000A31AB" w:rsidRDefault="000A31AB" w:rsidP="006804F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0A31AB" w:rsidRPr="00554443" w:rsidRDefault="00554443" w:rsidP="000A31AB">
    <w:pPr>
      <w:pStyle w:val="Footer"/>
      <w:ind w:right="360"/>
      <w:rPr>
        <w:rFonts w:ascii="Cambria" w:hAnsi="Cambria"/>
        <w:i/>
        <w:sz w:val="16"/>
        <w:szCs w:val="16"/>
      </w:rPr>
    </w:pPr>
    <w:r>
      <w:rPr>
        <w:rFonts w:ascii="Cambria" w:hAnsi="Cambria"/>
        <w:i/>
        <w:sz w:val="16"/>
        <w:szCs w:val="16"/>
      </w:rPr>
      <w:t xml:space="preserve">Draft. Please do not circulate or cite without contacting author.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3DB0" w:rsidRDefault="00CE3DB0" w:rsidP="000A31AB">
      <w:r>
        <w:separator/>
      </w:r>
    </w:p>
  </w:footnote>
  <w:footnote w:type="continuationSeparator" w:id="0">
    <w:p w:rsidR="00CE3DB0" w:rsidRDefault="00CE3DB0" w:rsidP="000A31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6447F"/>
    <w:multiLevelType w:val="hybridMultilevel"/>
    <w:tmpl w:val="25F46196"/>
    <w:lvl w:ilvl="0" w:tplc="59928FB8">
      <w:start w:val="1"/>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C1F2A"/>
    <w:multiLevelType w:val="hybridMultilevel"/>
    <w:tmpl w:val="6188F820"/>
    <w:lvl w:ilvl="0" w:tplc="C672BD44">
      <w:start w:val="1996"/>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FEA"/>
    <w:rsid w:val="00000D27"/>
    <w:rsid w:val="0001263A"/>
    <w:rsid w:val="0002482E"/>
    <w:rsid w:val="00030C84"/>
    <w:rsid w:val="000408AE"/>
    <w:rsid w:val="00053AC5"/>
    <w:rsid w:val="000859FF"/>
    <w:rsid w:val="000A31AB"/>
    <w:rsid w:val="00106121"/>
    <w:rsid w:val="001240C7"/>
    <w:rsid w:val="001519EA"/>
    <w:rsid w:val="00166466"/>
    <w:rsid w:val="001E4F76"/>
    <w:rsid w:val="001E6570"/>
    <w:rsid w:val="001F13D8"/>
    <w:rsid w:val="001F1574"/>
    <w:rsid w:val="001F48EE"/>
    <w:rsid w:val="002041E7"/>
    <w:rsid w:val="00210CE5"/>
    <w:rsid w:val="00237515"/>
    <w:rsid w:val="0024264C"/>
    <w:rsid w:val="00271299"/>
    <w:rsid w:val="002A5B35"/>
    <w:rsid w:val="002E0551"/>
    <w:rsid w:val="003569BF"/>
    <w:rsid w:val="00361994"/>
    <w:rsid w:val="003C524F"/>
    <w:rsid w:val="003D5AB5"/>
    <w:rsid w:val="00463C28"/>
    <w:rsid w:val="00466B2C"/>
    <w:rsid w:val="0047387E"/>
    <w:rsid w:val="0049106A"/>
    <w:rsid w:val="00491B9D"/>
    <w:rsid w:val="0049387A"/>
    <w:rsid w:val="00495D6E"/>
    <w:rsid w:val="004A0B35"/>
    <w:rsid w:val="004B0335"/>
    <w:rsid w:val="004B3104"/>
    <w:rsid w:val="004D740E"/>
    <w:rsid w:val="004F7E03"/>
    <w:rsid w:val="005003C2"/>
    <w:rsid w:val="0050516A"/>
    <w:rsid w:val="00505470"/>
    <w:rsid w:val="00515984"/>
    <w:rsid w:val="0051691D"/>
    <w:rsid w:val="0054293F"/>
    <w:rsid w:val="005471ED"/>
    <w:rsid w:val="00554443"/>
    <w:rsid w:val="005768EB"/>
    <w:rsid w:val="00580AE0"/>
    <w:rsid w:val="005B7568"/>
    <w:rsid w:val="005C1051"/>
    <w:rsid w:val="005C3893"/>
    <w:rsid w:val="005F2EF7"/>
    <w:rsid w:val="006049AC"/>
    <w:rsid w:val="0061151F"/>
    <w:rsid w:val="00655145"/>
    <w:rsid w:val="006673C1"/>
    <w:rsid w:val="00674CFB"/>
    <w:rsid w:val="00682D80"/>
    <w:rsid w:val="006959C1"/>
    <w:rsid w:val="006A3DF0"/>
    <w:rsid w:val="006A54A6"/>
    <w:rsid w:val="006A7CD6"/>
    <w:rsid w:val="006B7655"/>
    <w:rsid w:val="006C24D8"/>
    <w:rsid w:val="006E3B66"/>
    <w:rsid w:val="006F0154"/>
    <w:rsid w:val="006F1535"/>
    <w:rsid w:val="006F23E9"/>
    <w:rsid w:val="006F4FA0"/>
    <w:rsid w:val="007104B5"/>
    <w:rsid w:val="0071206D"/>
    <w:rsid w:val="00713EC6"/>
    <w:rsid w:val="0072032E"/>
    <w:rsid w:val="00735D9C"/>
    <w:rsid w:val="0075590F"/>
    <w:rsid w:val="00762911"/>
    <w:rsid w:val="007739E7"/>
    <w:rsid w:val="0077687D"/>
    <w:rsid w:val="00796E8F"/>
    <w:rsid w:val="007A24CD"/>
    <w:rsid w:val="007B6939"/>
    <w:rsid w:val="007C1024"/>
    <w:rsid w:val="007C47B2"/>
    <w:rsid w:val="007C74EB"/>
    <w:rsid w:val="00803527"/>
    <w:rsid w:val="00805256"/>
    <w:rsid w:val="00815918"/>
    <w:rsid w:val="008437D3"/>
    <w:rsid w:val="0086631F"/>
    <w:rsid w:val="008B00A7"/>
    <w:rsid w:val="008B698B"/>
    <w:rsid w:val="008C31F4"/>
    <w:rsid w:val="008E2A81"/>
    <w:rsid w:val="00907D97"/>
    <w:rsid w:val="00931E82"/>
    <w:rsid w:val="009633F9"/>
    <w:rsid w:val="0099782D"/>
    <w:rsid w:val="009A32E9"/>
    <w:rsid w:val="009F5C84"/>
    <w:rsid w:val="00A62C9A"/>
    <w:rsid w:val="00A67498"/>
    <w:rsid w:val="00A7014C"/>
    <w:rsid w:val="00A75E53"/>
    <w:rsid w:val="00A80FEA"/>
    <w:rsid w:val="00A83C01"/>
    <w:rsid w:val="00A84C4E"/>
    <w:rsid w:val="00A912C4"/>
    <w:rsid w:val="00A92F23"/>
    <w:rsid w:val="00AA1BC9"/>
    <w:rsid w:val="00AA2784"/>
    <w:rsid w:val="00AB1F39"/>
    <w:rsid w:val="00AC3955"/>
    <w:rsid w:val="00B03E80"/>
    <w:rsid w:val="00B107D9"/>
    <w:rsid w:val="00B23801"/>
    <w:rsid w:val="00B4234F"/>
    <w:rsid w:val="00BA456B"/>
    <w:rsid w:val="00BC04FF"/>
    <w:rsid w:val="00C01678"/>
    <w:rsid w:val="00C3535E"/>
    <w:rsid w:val="00C5505D"/>
    <w:rsid w:val="00C65810"/>
    <w:rsid w:val="00C8150E"/>
    <w:rsid w:val="00CA5578"/>
    <w:rsid w:val="00CD2FE2"/>
    <w:rsid w:val="00CE2451"/>
    <w:rsid w:val="00CE3DB0"/>
    <w:rsid w:val="00CE61D3"/>
    <w:rsid w:val="00CF08E5"/>
    <w:rsid w:val="00D057EB"/>
    <w:rsid w:val="00D2083F"/>
    <w:rsid w:val="00D21104"/>
    <w:rsid w:val="00DD46E9"/>
    <w:rsid w:val="00DD5AB5"/>
    <w:rsid w:val="00DF4311"/>
    <w:rsid w:val="00E06316"/>
    <w:rsid w:val="00E423FA"/>
    <w:rsid w:val="00E52ED0"/>
    <w:rsid w:val="00E61B94"/>
    <w:rsid w:val="00E97260"/>
    <w:rsid w:val="00EB2728"/>
    <w:rsid w:val="00ED75B3"/>
    <w:rsid w:val="00F1207E"/>
    <w:rsid w:val="00F139E4"/>
    <w:rsid w:val="00F16488"/>
    <w:rsid w:val="00F4300E"/>
    <w:rsid w:val="00F630A7"/>
    <w:rsid w:val="00F66AFE"/>
    <w:rsid w:val="00F733C8"/>
    <w:rsid w:val="00F854CE"/>
    <w:rsid w:val="00F877CB"/>
    <w:rsid w:val="00F97AA5"/>
    <w:rsid w:val="00FB3738"/>
    <w:rsid w:val="00FE4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C83F2"/>
  <w14:defaultImageDpi w14:val="32767"/>
  <w15:chartTrackingRefBased/>
  <w15:docId w15:val="{88932245-B41B-4C4F-87B6-A5D48AD900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A31AB"/>
    <w:pPr>
      <w:tabs>
        <w:tab w:val="center" w:pos="4680"/>
        <w:tab w:val="right" w:pos="9360"/>
      </w:tabs>
    </w:pPr>
  </w:style>
  <w:style w:type="character" w:customStyle="1" w:styleId="FooterChar">
    <w:name w:val="Footer Char"/>
    <w:basedOn w:val="DefaultParagraphFont"/>
    <w:link w:val="Footer"/>
    <w:uiPriority w:val="99"/>
    <w:rsid w:val="000A31AB"/>
  </w:style>
  <w:style w:type="character" w:styleId="PageNumber">
    <w:name w:val="page number"/>
    <w:basedOn w:val="DefaultParagraphFont"/>
    <w:uiPriority w:val="99"/>
    <w:semiHidden/>
    <w:unhideWhenUsed/>
    <w:rsid w:val="000A31AB"/>
  </w:style>
  <w:style w:type="character" w:styleId="Hyperlink">
    <w:name w:val="Hyperlink"/>
    <w:basedOn w:val="DefaultParagraphFont"/>
    <w:uiPriority w:val="99"/>
    <w:unhideWhenUsed/>
    <w:rsid w:val="00237515"/>
    <w:rPr>
      <w:color w:val="0000FF"/>
      <w:u w:val="single"/>
    </w:rPr>
  </w:style>
  <w:style w:type="paragraph" w:styleId="ListParagraph">
    <w:name w:val="List Paragraph"/>
    <w:basedOn w:val="Normal"/>
    <w:uiPriority w:val="34"/>
    <w:qFormat/>
    <w:rsid w:val="0049387A"/>
    <w:pPr>
      <w:ind w:left="720"/>
      <w:contextualSpacing/>
    </w:pPr>
    <w:rPr>
      <w:rFonts w:eastAsiaTheme="minorEastAsia"/>
    </w:rPr>
  </w:style>
  <w:style w:type="character" w:styleId="UnresolvedMention">
    <w:name w:val="Unresolved Mention"/>
    <w:basedOn w:val="DefaultParagraphFont"/>
    <w:uiPriority w:val="99"/>
    <w:rsid w:val="00554443"/>
    <w:rPr>
      <w:color w:val="605E5C"/>
      <w:shd w:val="clear" w:color="auto" w:fill="E1DFDD"/>
    </w:rPr>
  </w:style>
  <w:style w:type="paragraph" w:styleId="Header">
    <w:name w:val="header"/>
    <w:basedOn w:val="Normal"/>
    <w:link w:val="HeaderChar"/>
    <w:uiPriority w:val="99"/>
    <w:unhideWhenUsed/>
    <w:rsid w:val="00554443"/>
    <w:pPr>
      <w:tabs>
        <w:tab w:val="center" w:pos="4680"/>
        <w:tab w:val="right" w:pos="9360"/>
      </w:tabs>
    </w:pPr>
  </w:style>
  <w:style w:type="character" w:customStyle="1" w:styleId="HeaderChar">
    <w:name w:val="Header Char"/>
    <w:basedOn w:val="DefaultParagraphFont"/>
    <w:link w:val="Header"/>
    <w:uiPriority w:val="99"/>
    <w:rsid w:val="005544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5732249">
      <w:bodyDiv w:val="1"/>
      <w:marLeft w:val="0"/>
      <w:marRight w:val="0"/>
      <w:marTop w:val="0"/>
      <w:marBottom w:val="0"/>
      <w:divBdr>
        <w:top w:val="none" w:sz="0" w:space="0" w:color="auto"/>
        <w:left w:val="none" w:sz="0" w:space="0" w:color="auto"/>
        <w:bottom w:val="none" w:sz="0" w:space="0" w:color="auto"/>
        <w:right w:val="none" w:sz="0" w:space="0" w:color="auto"/>
      </w:divBdr>
    </w:div>
    <w:div w:id="874847874">
      <w:bodyDiv w:val="1"/>
      <w:marLeft w:val="0"/>
      <w:marRight w:val="0"/>
      <w:marTop w:val="0"/>
      <w:marBottom w:val="0"/>
      <w:divBdr>
        <w:top w:val="none" w:sz="0" w:space="0" w:color="auto"/>
        <w:left w:val="none" w:sz="0" w:space="0" w:color="auto"/>
        <w:bottom w:val="none" w:sz="0" w:space="0" w:color="auto"/>
        <w:right w:val="none" w:sz="0" w:space="0" w:color="auto"/>
      </w:divBdr>
      <w:divsChild>
        <w:div w:id="1665357154">
          <w:marLeft w:val="0"/>
          <w:marRight w:val="0"/>
          <w:marTop w:val="240"/>
          <w:marBottom w:val="240"/>
          <w:divBdr>
            <w:top w:val="none" w:sz="0" w:space="0" w:color="auto"/>
            <w:left w:val="none" w:sz="0" w:space="0" w:color="auto"/>
            <w:bottom w:val="none" w:sz="0" w:space="0" w:color="auto"/>
            <w:right w:val="none" w:sz="0" w:space="0" w:color="auto"/>
          </w:divBdr>
        </w:div>
        <w:div w:id="893346161">
          <w:marLeft w:val="0"/>
          <w:marRight w:val="0"/>
          <w:marTop w:val="240"/>
          <w:marBottom w:val="240"/>
          <w:divBdr>
            <w:top w:val="none" w:sz="0" w:space="0" w:color="auto"/>
            <w:left w:val="none" w:sz="0" w:space="0" w:color="auto"/>
            <w:bottom w:val="none" w:sz="0" w:space="0" w:color="auto"/>
            <w:right w:val="none" w:sz="0" w:space="0" w:color="auto"/>
          </w:divBdr>
        </w:div>
        <w:div w:id="1447583455">
          <w:marLeft w:val="0"/>
          <w:marRight w:val="0"/>
          <w:marTop w:val="240"/>
          <w:marBottom w:val="240"/>
          <w:divBdr>
            <w:top w:val="none" w:sz="0" w:space="0" w:color="auto"/>
            <w:left w:val="none" w:sz="0" w:space="0" w:color="auto"/>
            <w:bottom w:val="none" w:sz="0" w:space="0" w:color="auto"/>
            <w:right w:val="none" w:sz="0" w:space="0" w:color="auto"/>
          </w:divBdr>
        </w:div>
      </w:divsChild>
    </w:div>
    <w:div w:id="1434285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slgreer@umich.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cottlgreer/Library/Group%20Containers/UBF8T346G9.Office/User%20Content.localized/Templates.localized/Norm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Normal.dotx</Template>
  <TotalTime>42</TotalTime>
  <Pages>12</Pages>
  <Words>6939</Words>
  <Characters>37612</Characters>
  <Application>Microsoft Office Word</Application>
  <DocSecurity>0</DocSecurity>
  <Lines>606</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Greer, Scott</dc:creator>
  <cp:keywords/>
  <dc:description/>
  <cp:lastModifiedBy>Greer, Scott</cp:lastModifiedBy>
  <cp:revision>11</cp:revision>
  <dcterms:created xsi:type="dcterms:W3CDTF">2018-07-02T12:00:00Z</dcterms:created>
  <dcterms:modified xsi:type="dcterms:W3CDTF">2018-08-07T18:32:00Z</dcterms:modified>
</cp:coreProperties>
</file>